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409BE" w14:textId="6D687ADD" w:rsidR="00553D99" w:rsidRDefault="00553D99" w:rsidP="001D0389">
      <w:pPr>
        <w:ind w:firstLine="720"/>
        <w:jc w:val="both"/>
      </w:pPr>
      <w:r>
        <w:t xml:space="preserve">„Hell is other people." Despite Sartre's claim, which suggests that the gaze of others is what blocks and anguishes you, the scientific literature shows that the gaze of others is one of the most relevant and </w:t>
      </w:r>
      <w:r w:rsidR="007157EB">
        <w:t xml:space="preserve"> </w:t>
      </w:r>
      <w:r w:rsidR="00CE0399">
        <w:t xml:space="preserve"> </w:t>
      </w:r>
      <w:r>
        <w:t xml:space="preserve"> humans rely both on verbal and non-verbal cues to navigate the social world and to understand the mental states of others (Tomasello et al., 2005). </w:t>
      </w:r>
      <w:commentRangeStart w:id="0"/>
      <w:r>
        <w:t>Examples of important and frequently used non-verbal social cues are head orientation, pointing gestures</w:t>
      </w:r>
      <w:r w:rsidR="00CE0399">
        <w:t>, posture and gaze</w:t>
      </w:r>
      <w:r>
        <w:t xml:space="preserve">. </w:t>
      </w:r>
      <w:commentRangeEnd w:id="0"/>
      <w:r w:rsidR="00CC3111">
        <w:rPr>
          <w:rStyle w:val="CommentReference"/>
          <w:sz w:val="24"/>
          <w:szCs w:val="24"/>
        </w:rPr>
        <w:commentReference w:id="0"/>
      </w:r>
      <w:r>
        <w:t xml:space="preserve">Among these cues, gaze </w:t>
      </w:r>
      <w:r w:rsidR="00CE0399">
        <w:t xml:space="preserve">and </w:t>
      </w:r>
      <w:r w:rsidR="00CE0399">
        <w:t>gaze direction</w:t>
      </w:r>
      <w:r w:rsidR="00CE0399">
        <w:t xml:space="preserve"> </w:t>
      </w:r>
      <w:r>
        <w:t xml:space="preserve">holds a privileged status, because it signals not only where another person is looking, but also what they are attending to and, potentially, what they intend to do next (Emery, 2000). </w:t>
      </w:r>
      <w:commentRangeStart w:id="1"/>
      <w:r>
        <w:t xml:space="preserve">It is important to mention that this capacity to read gaze direction is not uniquely human. It has been documented in other primates, like gorillas or monkeys, and is thought to reflect an </w:t>
      </w:r>
      <w:r w:rsidR="00657121">
        <w:t>evolutionary</w:t>
      </w:r>
      <w:r>
        <w:t xml:space="preserve"> ancient mechanism for coordinating attention and action within social groups (Shepherd et al., 2006). From the first days of life, newborns show a preference for face-like stimuli and preferentially orient toward faces (Farroni et al., 2002; Johnson et al., 2015). In the center of this attention are the eyes. </w:t>
      </w:r>
      <w:commentRangeStart w:id="2"/>
      <w:r>
        <w:t>The tendency to shift our own attention in the direction of another person's gaze is known as the gaze-cueing effect (GCE).</w:t>
      </w:r>
      <w:commentRangeEnd w:id="2"/>
      <w:r w:rsidR="00CC3111">
        <w:rPr>
          <w:rStyle w:val="CommentReference"/>
          <w:sz w:val="24"/>
          <w:szCs w:val="24"/>
        </w:rPr>
        <w:commentReference w:id="2"/>
      </w:r>
      <w:r>
        <w:t xml:space="preserve"> This effect was first reported at the end of the 20th century (Driver et al., 1999; Friesen &amp; Kingstone, 1998; Langton &amp; Bruce, 1999). It is considered one of the most studied phenomena in social attention (McKay et al., 2021), and it has been shown to serve as a fundamental social mechanism. This kind of mechanism allows individuals to infer the attentional focus of others and thereby engage in joint attention, a core component of human social interaction (Tomasello et al., 2005). </w:t>
      </w:r>
      <w:commentRangeStart w:id="3"/>
      <w:r>
        <w:t>Throughout this thesis, it will be analyzed the way in which gaze direction modifies, interferes with or modulates the gaze cueing effect</w:t>
      </w:r>
      <w:commentRangeEnd w:id="3"/>
      <w:r w:rsidR="00CC3111">
        <w:rPr>
          <w:rStyle w:val="CommentReference"/>
          <w:sz w:val="24"/>
          <w:szCs w:val="24"/>
        </w:rPr>
        <w:commentReference w:id="3"/>
      </w:r>
      <w:r>
        <w:t>. Through the experiments carried out, the extent to which this effect, often considered automatic, can be modulated by the sense of agency will be investigated.</w:t>
      </w:r>
      <w:commentRangeEnd w:id="1"/>
      <w:r w:rsidR="00CE0399">
        <w:rPr>
          <w:rStyle w:val="CommentReference"/>
          <w:sz w:val="24"/>
          <w:szCs w:val="24"/>
        </w:rPr>
        <w:commentReference w:id="1"/>
      </w:r>
    </w:p>
    <w:p w14:paraId="2B967F70" w14:textId="77777777" w:rsidR="00553D99" w:rsidRDefault="00553D99" w:rsidP="001D0389">
      <w:pPr>
        <w:ind w:firstLine="720"/>
        <w:jc w:val="both"/>
      </w:pPr>
      <w:r>
        <w:t xml:space="preserve">First, it is worth mentioning the morphological specificity of the human eye. Unlike other primates, the human eye has a white sclera, widely visible, surrounding a relatively small pupil and iris (Kobayashi &amp; Kohshima, 1997). This configuration is not merely an anatomical detail, but has profound functional consequences: it makes gaze direction extremely easy to detect (Frischen et al., 2007). This facilitation allows the rapid and efficient extraction of social information through robust processing mechanisms (Langton et al., 2000), and is particularly important in natural social interactions, where it enables individuals to read the attentional focus of others even at a distance, in peripheral vision, or during brief glances. This capacity is far more limited in species whose sclera is less visible (Kobayashi &amp; Kohshima, 1997). Moreover, the structure of the eye also makes humans remarkably good at sensing when they are being watched. As such, direct gaze is detected faster and more accurately than averted gaze, even in peripheral vision and at very brief exposures (Senju &amp; Johnson, 2009). This ability is present from birth (Farroni et al., 2002) and is thought to be supported by a fast subcortical pathway specialized for eye-contact detection (Senju &amp; Johnson, 2009). From an evolutionary perspective, two major explanations have been </w:t>
      </w:r>
      <w:r>
        <w:lastRenderedPageBreak/>
        <w:t>proposed for this development (see the discussion in Langton et al., 2000). The first explanation is the existence of specialized brain circuits for gaze processing, initially highlighted by Perrett and colleagues (Perrett et al., 1990, for animals; Haxby et al., 2000, for humans; Puce &amp; Perrett, 2013). More specifically, this perspective suggests that evolutionary pressures have dedicated specific neural resources to capturing information from the gaze of others. The other explanation refers to the structure of the eye itself, which seems to have evolved to be easily detected by the human visual system. Hence, this characteristic has turned gaze into a social signal that is impossible to ignore—as evidenced by infants' early sensitivity to gaze direction (Batki et al., 2000). This early sensitivity is consistent with the idea that the human eye has been shaped by natural selection not only for seeing, but also for being seen—a proposal that has received considerable support in comparative studies of primate visual morphology (Kobayashi &amp; Kohshima, 1997; see also Langton et al., 2000).</w:t>
      </w:r>
    </w:p>
    <w:p w14:paraId="47A3B51E" w14:textId="67AC6EB4" w:rsidR="00553D99" w:rsidRDefault="00553D99" w:rsidP="001D0389">
      <w:pPr>
        <w:ind w:firstLine="720"/>
        <w:jc w:val="both"/>
      </w:pPr>
      <w:r>
        <w:t xml:space="preserve">Looking again at the gaze cueing effect, we may say that this capacity is not exclusively human. </w:t>
      </w:r>
      <w:r w:rsidR="00A96DAF">
        <w:t>G</w:t>
      </w:r>
      <w:r>
        <w:t>aze following has also been documented in other primates, which adjust their attention according to the gaze direction of conspecifics (Shepherd et al., 2006). That can be a suggestion that a common evolutionary origin predates the emergence of modern humans. However, humans appear to be particularly skilled at discriminating fine differences in gaze direction. In a classic psychophysical study, Gibson and Pick (1963) showed that the threshold at which participants accepted a truly deviated gaze as direct was just 2.8°, demonstrating an extraordinary sensitivity to subtle changes in gaze angle. This fine-grained sensitivity is thought to reflect the high degree of social coordination required in human groups (Langton et al., 2000). Beyond the detection of gaze direction, direct eye contact, i.e. the actual meeting of gazes, constitutes a social signal with a special status. This is a signal regarding the intention to interact, captures attention automatically, and activates neural networks involved in social cognition (Senju &amp; Johnson, 2009). This direct contact is often the first step toward establishing joint attention and shared intentionality (Tomasello et al., 2005). This will provide the context in which the deictic cue of gaze becomes truly meaningful. In this context, the gaze-cueing paradigm offers a privileged experimental window into how gaze direction orients our attention, and the factors that modulate it, including the sense of agency, become accessible to empirical investigation.</w:t>
      </w:r>
    </w:p>
    <w:p w14:paraId="6E681A09" w14:textId="77777777" w:rsidR="00553D99" w:rsidRDefault="00553D99" w:rsidP="001D0389">
      <w:pPr>
        <w:ind w:firstLine="720"/>
        <w:jc w:val="both"/>
      </w:pPr>
      <w:r>
        <w:t xml:space="preserve">This capacity was conceptualized by Baron-Cohen (1995) as being supported by a specialized cognitive module, namely the Eye Direction Detector (EDD), which functions as a precursor to theory of mind. In Baron-Cohen's model, the EDD is one of several neurocognitive modules that build on one another: it detects the presence of eyes, computes gaze direction, and infers whether the gaze is directed toward the self or toward another object. It operates automatically and at a low level of processing, providing the raw material for more sophisticated social-cognitive processes. The EDD is hypothesized to be innate and to mature very early in development, consistent with the finding that newborns are already sensitive to direct eye </w:t>
      </w:r>
      <w:r>
        <w:lastRenderedPageBreak/>
        <w:t>contact (Farroni et al., 2002). Neural evidence also supports the existence of specialized gaze-processing mechanisms: the superior temporal sulcus (STS) has been repeatedly implicated in coding gaze direction and in distinguishing direct from averted gaze (Hoffman &amp; Haxby, 2000; Pelphrey et al., 2003). In this sense, gaze following is not merely an attentional orienting mechanism, but a gateway to complex social cognition: detecting gaze direction enables the attribution of intentions and mental states to others, processes that underlie theory of mind (Baron-Cohen, 1995; Baron-Cohen et al., 1997). Notably, disturbances in this early gaze-processing module have been proposed as a core feature of autism spectrum disorder, where both direct gaze detection and joint attention are atypical from early childhood (Baron-Cohen, 1995; Senju &amp; Johnson, 2009).</w:t>
      </w:r>
    </w:p>
    <w:p w14:paraId="2ABBB8D1" w14:textId="77777777" w:rsidR="00553D99" w:rsidRDefault="00553D99" w:rsidP="001D0389">
      <w:pPr>
        <w:ind w:firstLine="720"/>
        <w:jc w:val="both"/>
      </w:pPr>
      <w:commentRangeStart w:id="4"/>
      <w:r>
        <w:t>Moreover, recent research emphasizes that purely observational paradigms, in which the participant passively views a face on a screen, do not capture the full complexity of the social processing of gaze. On the contrary, a “second-person neuroscience” perspective has emerged, arguing that understanding the behavioral and neural mechanisms of social gaze requires interactive approaches, in which the participant is actively engaged in generating or exchanging social cues (Schilbach et al., 2013; Schilbach, 2016). This transition is visible even in the evolution of research on the gaze-cueing effect, which has begun to be extended to paradigms involving real-time interactions and oculomotor measurements (Pfeiffer et al., 2013). It is within this theoretical framework that the central question of the present work arises: if simply observing a gaze triggers robust cueing effects, what happens when the participant is themselves the agent producing the cue? The shift from a passive observer to an active agent in gaze processing therefore constitutes the central stake of this thesis. Of course, the experimental paradigm used here, an adaptation of the Posner task (Posner, 1980), which we will illustrate shortly, does not involve face-to-face interactions or eye-tracking; nevertheless, by systematically manipulating the contingency between the participant’s action and the change in gaze direction, it represents a first controlled step toward investigating the role of the sense of agency in social attentional orienting.</w:t>
      </w:r>
      <w:commentRangeEnd w:id="4"/>
      <w:r w:rsidR="00CE0399">
        <w:rPr>
          <w:rStyle w:val="CommentReference"/>
          <w:sz w:val="24"/>
          <w:szCs w:val="24"/>
        </w:rPr>
        <w:commentReference w:id="4"/>
      </w:r>
    </w:p>
    <w:p w14:paraId="7EADF2FA" w14:textId="50306B23" w:rsidR="00553D99" w:rsidRDefault="00553D99" w:rsidP="001D0389">
      <w:pPr>
        <w:ind w:firstLine="720"/>
        <w:jc w:val="both"/>
      </w:pPr>
      <w:r>
        <w:t xml:space="preserve">All experiments in this thesis are based on the Posner paradigm, a classic paradigm in the study of attentional orienting, that later became fundamental for research on the gaze-cueing effect as well. Starting from the original article by Posner (1980), various versions have been developed, but they all preserve a basic structure: a central or peripheral cue is presented, often an arrow, indicating the probable location of an upcoming target. The difference in reaction times is then calculated between valid trials, in which the cue correctly indicated the location of the upcoming target, and invalid trials, in which the cue indicated the wrong location. This difference represents the attentional benefit conferred by cue-based orienting. In the late 1990s, three research groups independently adapted this paradigm, replacing the arrow with a social cue: a human face whose gaze was directed to the left or to the right (Friesen &amp; Kingstone, 1998; Driver </w:t>
      </w:r>
      <w:r>
        <w:lastRenderedPageBreak/>
        <w:t xml:space="preserve">et al., 1999; Langton &amp; Bruce, 1999). The first study (Friesen &amp; Kingstone, 1998) used a stylized version of a human face and demonstrated that gaze triggers reflexive, automatic orienting, independent of the strategic utility of the cue. The next two studies used realistic faces and highlighted the specific role of the eyes, showing that the cueing effect is due to gaze and not to head orientation (Driver et al., 1999; Langton &amp; Bruce, 1999). This distinction has ecological relevance beyond the laboratory: in sports, for example, the effect of deceptive feints exploits precisely the dissociation between body (and head) posture and the actual direction of gaze, </w:t>
      </w:r>
      <w:r w:rsidR="009B59AD">
        <w:t>to</w:t>
      </w:r>
      <w:r>
        <w:t xml:space="preserve"> mislead the opponent (Kunde et al., 2011; Meyer et al., 2022). In the same vein, Langton and Bruce (1999) demonstrated that gaze and arrows engage partially distinct attentional mechanisms: gaze is not merely a more “ecological” arrow, but a special social cue.</w:t>
      </w:r>
    </w:p>
    <w:p w14:paraId="724F64D7" w14:textId="77777777" w:rsidR="00553D99" w:rsidRDefault="00553D99" w:rsidP="001D0389">
      <w:pPr>
        <w:ind w:firstLine="720"/>
        <w:jc w:val="both"/>
      </w:pPr>
      <w:commentRangeStart w:id="5"/>
      <w:r>
        <w:t xml:space="preserve">The seemingly minor modification of replacing an arrow with a gaze thus opened an entire field of research, demonstrating that attentional orienting is not governed exclusively by arbitrary symbols, but also by social signals with deep ecological relevance. At the same time, the two categories of cues differ in a fundamental respect: while arrows orient attention predominantly when they are predictive, gaze produces a robust effect even when the participant knows that its direction does not predict the target location (Friesen &amp; Kingstone, 1998). </w:t>
      </w:r>
      <w:commentRangeEnd w:id="5"/>
      <w:r w:rsidR="00CE0399">
        <w:rPr>
          <w:rStyle w:val="CommentReference"/>
          <w:sz w:val="24"/>
          <w:szCs w:val="24"/>
        </w:rPr>
        <w:commentReference w:id="5"/>
      </w:r>
      <w:r>
        <w:t>This resistance to non-predictiveness is one of the defining features of the gaze-cueing effect and suggests that it engages attentional mechanisms distinct from those involved in symbolic cues—an aspect that will be examined in detail in what follows.</w:t>
      </w:r>
    </w:p>
    <w:p w14:paraId="6ADC8E67" w14:textId="3B5BC5DD" w:rsidR="00553D99" w:rsidRDefault="00553D99" w:rsidP="001D0389">
      <w:pPr>
        <w:ind w:firstLine="720"/>
        <w:jc w:val="both"/>
      </w:pPr>
      <w:r>
        <w:t xml:space="preserve">To better understand the nature of this effect and the mechanisms that govern it, it is useful to first detail the typical structure of a gaze-cueing experiment. This same structure underlies the three experiments on which the present work is based. It is as follows: the participant is seated in front of a screen and fixates a central point. In the center of the screen, a human face (schematic or photographic) appears, with its gaze initially directed straight ahead. After a short interval (usually between 300 and 1000 ms), the face’s gaze suddenly shifts to the left or to the right. At a variable interval after the onset of the cue (stimulus onset asynchrony, SOA)—that is, the interval between the onset of the cue and the onset of the target—a peripheral target appears. This target can be, for example, a letter, an asterisk, or a circle, but in the case of the present experiments, it is a square of a certain color. This target appears either in the direction indicated by the gaze (congruent trial) or in the opposite direction (incongruent trial). The participant’s task is to detect or discriminate the target as quickly as possible, usually by pressing a button. Both static faces (photographs with averted gaze) and dynamic faces (animated sequences in which the eyes move) produce the cueing effect. </w:t>
      </w:r>
      <w:commentRangeStart w:id="6"/>
      <w:r>
        <w:t xml:space="preserve">However, the two versions differ in the magnitude of the effect they generate: dynamic gaze shifts, which more closely mimic natural eye movements, typically produce a larger cueing effect than static images, likely because they engage additional biological motion processing mechanisms </w:t>
      </w:r>
      <w:commentRangeEnd w:id="6"/>
      <w:r w:rsidR="00CE0399">
        <w:rPr>
          <w:rStyle w:val="CommentReference"/>
          <w:sz w:val="24"/>
          <w:szCs w:val="24"/>
        </w:rPr>
        <w:commentReference w:id="6"/>
      </w:r>
      <w:r>
        <w:t xml:space="preserve">(Lassalle &amp; Itier, 2015; Frischen et al., 2007). In the present experiments, a dynamic sequence was used, consisting of seven </w:t>
      </w:r>
      <w:r>
        <w:lastRenderedPageBreak/>
        <w:t xml:space="preserve">frames presented over 210 ms, </w:t>
      </w:r>
      <w:r w:rsidR="009B59AD">
        <w:t>to</w:t>
      </w:r>
      <w:r>
        <w:t xml:space="preserve"> maximize the ecological realism of the gaze shift and the magnitude of the cueing effect. In the static version, the face appears directly with averted gaze; in the dynamic version, the eyes move in real time. The gaze-cueing effect (Gaze Cueing Effect, GCE) is operationally defined as the difference between the mean reaction times recorded in incongruent trials and those recorded in congruent trials: GCE = RT(incongruent) – RT(congruent), expressed in milliseconds. A positive GCE indicates that participants responded faster to targets appearing in the direction of gaze, confirming that the social cue facilitated attentional orienting. </w:t>
      </w:r>
      <w:commentRangeStart w:id="7"/>
      <w:r>
        <w:t>The typical magnitude of this effect lies between 10 and 20 ms,</w:t>
      </w:r>
      <w:commentRangeEnd w:id="7"/>
      <w:r w:rsidR="00B956AC">
        <w:rPr>
          <w:rStyle w:val="CommentReference"/>
          <w:sz w:val="24"/>
          <w:szCs w:val="24"/>
        </w:rPr>
        <w:commentReference w:id="7"/>
      </w:r>
      <w:r>
        <w:t xml:space="preserve"> and it has been replicated in hundreds of studies, being considered one of the most robust phenomena in the social attention literature (Frischen et al., 2007; McKay et al., 2021).</w:t>
      </w:r>
    </w:p>
    <w:p w14:paraId="5BF197DD" w14:textId="77777777" w:rsidR="00553D99" w:rsidRDefault="00553D99" w:rsidP="001D0389">
      <w:pPr>
        <w:ind w:firstLine="720"/>
        <w:jc w:val="both"/>
      </w:pPr>
      <w:r>
        <w:t>One of the particularly relevant aspects of the gaze-cueing effect is its profoundly automatic nature. Eloquent evidence in this regard comes from studies that manipulated the interval between cue and target (SOA). For example, one of the first experimental investigations of this effect, Friesen and Kingstone (1998), showed that although the effect is significant at SOAs of 105, 300, and 600 ms, it disappears completely at an SOA of 1005 ms. The fact that the effect is present at very short SOAs but disappears after approximately one second corresponds to the typical temporal profile of exogenous orienting: rapid in onset but transient, dissipating in less than a second (Müller &amp; Rabbitt, 1989). Exogenous orienting refers to the orienting of attention triggered involuntarily by an external stimulus, independent of the observer's intentions. A familiar example is a sudden flash of light in the periphery, which captures attention automatically, even before we become consciously aware of it. In contrast, endogenous orienting is slower, voluntary, guided by symbolic cues and by the observer's expectations (Posner, 1980).</w:t>
      </w:r>
    </w:p>
    <w:p w14:paraId="63CA9CEF" w14:textId="77777777" w:rsidR="005028C0" w:rsidRDefault="005028C0" w:rsidP="001D0389">
      <w:pPr>
        <w:ind w:firstLine="720"/>
        <w:jc w:val="both"/>
      </w:pPr>
      <w:commentRangeStart w:id="8"/>
      <w:r w:rsidRPr="005028C0">
        <w:t xml:space="preserve">Another important result of the study by Friesen and Kingstone (1998) is that the effect proved to be purely facilitatory: reaction times were faster in trials in which the gaze indicated the correct location compared to a neutral condition, without any significant slowing in trials in which the gaze indicated the wrong location. </w:t>
      </w:r>
      <w:commentRangeEnd w:id="8"/>
      <w:r w:rsidR="00B956AC" w:rsidRPr="005028C0">
        <w:rPr>
          <w:rStyle w:val="CommentReference"/>
          <w:sz w:val="24"/>
          <w:szCs w:val="24"/>
        </w:rPr>
        <w:commentReference w:id="8"/>
      </w:r>
      <w:r w:rsidRPr="005028C0">
        <w:t>In other words, gaze produces an attentional benefit without costs, a pattern that differentiates reflexive orienting from strategic orienting. This automatic, purely facilitatory profile is precisely what makes the gaze-cueing effect an ideal candidate for investigating whether higher-order factors, such as the sense of agency, can modulate its expression.</w:t>
      </w:r>
    </w:p>
    <w:p w14:paraId="5A3C7EC9" w14:textId="5828EF48" w:rsidR="00553D99" w:rsidRDefault="00553D99" w:rsidP="001D0389">
      <w:pPr>
        <w:ind w:firstLine="720"/>
        <w:jc w:val="both"/>
      </w:pPr>
      <w:r>
        <w:t xml:space="preserve">Moreover, the effect persists under conditions that, theoretically, should abolish it if it </w:t>
      </w:r>
      <w:r w:rsidR="009B59AD">
        <w:t>relies</w:t>
      </w:r>
      <w:r>
        <w:t xml:space="preserve"> on strategic, controlled processes. For example, gaze-triggered orienting remains robust even when the cue is presented very briefly and then masked, preventing elaborate conscious processing (Sato et al., 2007). It is worth noting that Sato and colleagues (2007) demonstrated the same automatic orienting effect for cues provided by head direction, suggesting that not only the eyes but also head posture can trigger attentional shifts without awareness. The effect is also </w:t>
      </w:r>
      <w:r>
        <w:lastRenderedPageBreak/>
        <w:t>maintained when gaze direction does not predict the target location better than chance (Galfano et al., 2012) and even when the cue is counter predictive, that is, when it systematically indicates the opposite location of the target (Kuhn &amp; Kingstone, 2009; Tipples, 2008). Moreover, the effect becomes even stronger when attentional resources are depleted by perceptual distraction and increased task demands, making nonpredictive cues harder to ignore (Gregory &amp; Jackson, 202</w:t>
      </w:r>
      <w:r w:rsidR="009B59AD">
        <w:t>1</w:t>
      </w:r>
      <w:r>
        <w:t>). This remarkable robustness is consistent with the idea that gaze-triggered orienting is a fundamental mechanism, deeply rooted in human cognitive architecture. Supporting this, evidence from developmental studies shows that the basic components of gaze processing are present from the very first days of life: newborns just 2–5 days old preferentially orient to faces with direct gaze (Batki et al., 2000; Farroni et al., 2002), and by 3–4 months of age, infants' attention to objects is already facilitated by the gaze direction of an adult (Reid &amp; Striano, 2005).</w:t>
      </w:r>
    </w:p>
    <w:p w14:paraId="54BA90B5" w14:textId="10DABD37" w:rsidR="00D46652" w:rsidRDefault="00D46652" w:rsidP="001D0389">
      <w:pPr>
        <w:ind w:firstLine="720"/>
        <w:jc w:val="both"/>
      </w:pPr>
      <w:r w:rsidRPr="00D46652">
        <w:t>Regarding the type of response required from participants, Friesen and Kingstone (1998) found no change in the magnitude of the cueing effect as a function of whether the task involved detection, localization, or identification. This insensitivity to task demands suggests that gaze-triggered orienting operates at a basic level of processing, largely unaffected by the specific output requirements of the task. However, it should be noted that similar insensitivity to response type has been observed for other attention-orienting cues as well, such as peripheral flashes or central arrows (Müller &amp; Rabbitt, 1989), and therefore this property is not uniquely specific to gaze. Nevertheless, it reinforces the view that the gaze-cueing effect shares core mechanisms with other forms of exogenous orienting, while retaining social specificity in other respects.</w:t>
      </w:r>
    </w:p>
    <w:p w14:paraId="4804007B" w14:textId="65760976" w:rsidR="00D46652" w:rsidRDefault="00D46652" w:rsidP="001D0389">
      <w:pPr>
        <w:ind w:firstLine="720"/>
        <w:jc w:val="both"/>
      </w:pPr>
      <w:r w:rsidRPr="00D46652">
        <w:t>These multiple lines of evidence, which have focused on different levels of stimulus presentation, participant task, cue characteristics, and neural implementation, consistently illustrate the gaze-cueing effect as a deeply rooted, rapid, and largely automatic attentional mechanism. At the same time, however, a growing body of research has shown that the magnitude of this effect is not fixed: it is modulated by a variety of social and cognitive factors, including the emotional expression of the cueing face, the observer's gender and age, and the social context in which the cue is embedded (for reviews, see Dalmaso et al., 2020; McKay et al., 2021). The coexistence of a strong automatic component with systematic modulability is not contradictory; rather, it suggests that gaze-triggered orienting is best conceptualized as a rapid, reflexive process that is nonetheless permeable to higher-order influen</w:t>
      </w:r>
      <w:commentRangeStart w:id="9"/>
      <w:r w:rsidRPr="00D46652">
        <w:t>ces. This is precisely what motivates the present study: if the gaze-cueing effect can be modulated by factors such as the emotional expression of the face or the observer's social group membership, then it is plausible that an internal state generated by one's own action — the sense of agency — might also shape this fundamental social-attentional process.</w:t>
      </w:r>
      <w:commentRangeEnd w:id="9"/>
      <w:r w:rsidR="00B956AC">
        <w:rPr>
          <w:rStyle w:val="CommentReference"/>
          <w:sz w:val="24"/>
          <w:szCs w:val="24"/>
        </w:rPr>
        <w:commentReference w:id="9"/>
      </w:r>
      <w:commentRangeStart w:id="10"/>
    </w:p>
    <w:p w14:paraId="542DB64E" w14:textId="51391B30" w:rsidR="00D46652" w:rsidRDefault="00D46652" w:rsidP="001D0389">
      <w:pPr>
        <w:ind w:firstLine="720"/>
        <w:jc w:val="both"/>
      </w:pPr>
      <w:r>
        <w:t xml:space="preserve">It is important to note that this relationship is bidirectional: </w:t>
      </w:r>
      <w:commentRangeEnd w:id="10"/>
      <w:r w:rsidR="00B956AC">
        <w:rPr>
          <w:rStyle w:val="CommentReference"/>
          <w:sz w:val="24"/>
          <w:szCs w:val="24"/>
        </w:rPr>
        <w:commentReference w:id="10"/>
      </w:r>
      <w:r>
        <w:t xml:space="preserve">just as gaze influences information processing, the characteristics of the social context—including the nature of the </w:t>
      </w:r>
      <w:r>
        <w:lastRenderedPageBreak/>
        <w:t xml:space="preserve">relationship between the observer and the person gazing—also modulate, in turn, the magnitude of the gaze-triggered orienting effect (Dalmaso et al., 2020). </w:t>
      </w:r>
      <w:commentRangeStart w:id="11"/>
      <w:r>
        <w:t>More recently, computational models of evidence accumulation have suggested that the speeding of responses to gazed-at targets might reflect an increase in the efficiency of information processing at the indicated location, rather than a simple facilitation of attentional orienting (Alister et al., 2024). However, it remains an open question whether this processing boost is sustained over time or whether it dissipates rapidly after the initial orienting. This distinction is relevant for the present study: if the sense of agency over the gaze modifies not only attentional orienting but also the depth of information processing at the indicated location, then the modulation of the gaze-cueing effect by agency might reflect a strategic redistribution of cognitive resources, rather than merely a simple inhibition of an automatic reflex.</w:t>
      </w:r>
      <w:commentRangeEnd w:id="11"/>
      <w:r w:rsidR="00B956AC">
        <w:rPr>
          <w:rStyle w:val="CommentReference"/>
          <w:sz w:val="24"/>
          <w:szCs w:val="24"/>
        </w:rPr>
        <w:commentReference w:id="11"/>
      </w:r>
    </w:p>
    <w:p w14:paraId="107A8341" w14:textId="000AB758" w:rsidR="0053585A" w:rsidRDefault="00D46652" w:rsidP="001D0389">
      <w:pPr>
        <w:ind w:firstLine="720"/>
        <w:jc w:val="both"/>
      </w:pPr>
      <w:r>
        <w:t>Nevertheless, although robust, the gaze-cueing effect is not insensitive to context. A vast literature has demonstrated that its magnitude is modulated by a multitude of factors</w:t>
      </w:r>
      <w:r w:rsidR="00695C79">
        <w:t>. They range</w:t>
      </w:r>
      <w:r>
        <w:t xml:space="preserve"> from the characteristics of the face providing the cue (emotional expression, perceived social status) to traits of the observer (anxiety, gender, age) and contextual variables (group membership, trust history) (for a review, see Dalmaso et al., 2020; McKay et al., 2021).</w:t>
      </w:r>
      <w:r w:rsidR="0053585A">
        <w:t xml:space="preserve"> </w:t>
      </w:r>
      <w:r w:rsidR="0053585A" w:rsidRPr="0053585A">
        <w:t xml:space="preserve">In the following </w:t>
      </w:r>
      <w:r w:rsidR="0053585A">
        <w:t>paragraphs</w:t>
      </w:r>
      <w:r w:rsidR="0053585A" w:rsidRPr="0053585A">
        <w:t>, each category of modulators is examined in turn.</w:t>
      </w:r>
      <w:r>
        <w:t xml:space="preserve"> </w:t>
      </w:r>
    </w:p>
    <w:p w14:paraId="5AF44086" w14:textId="312EE79A" w:rsidR="000D4023" w:rsidRDefault="000D4023" w:rsidP="001D0389">
      <w:pPr>
        <w:ind w:firstLine="720"/>
        <w:jc w:val="both"/>
      </w:pPr>
      <w:r>
        <w:t xml:space="preserve">The influence of emotional expressions on the gaze-cueing effect has received considerable attention, but the findings are notably mixed. On the one hand, several studies have reported that faces expressing negative emotions, particularly fear, reliably amplify the </w:t>
      </w:r>
      <w:r w:rsidR="00695C79">
        <w:t>gaze-cueing effect</w:t>
      </w:r>
      <w:r>
        <w:t>. For example, Bayless et al. (2011) demonstrated that fearful faces produce a larger cueing effect than neutral faces</w:t>
      </w:r>
      <w:r w:rsidR="00695C79">
        <w:t xml:space="preserve">. It’s very important to </w:t>
      </w:r>
      <w:r w:rsidR="00B85699">
        <w:t>say</w:t>
      </w:r>
      <w:r w:rsidR="00695C79">
        <w:t xml:space="preserve"> that</w:t>
      </w:r>
      <w:r>
        <w:t xml:space="preserve"> this emotional enhancement emerged only when perceptual features of the stimuli</w:t>
      </w:r>
      <w:r w:rsidR="00695C79">
        <w:t>, e.g.</w:t>
      </w:r>
      <w:r>
        <w:t xml:space="preserve"> contrast and luminance</w:t>
      </w:r>
      <w:r w:rsidR="00695C79">
        <w:t>,</w:t>
      </w:r>
      <w:r>
        <w:t xml:space="preserve"> were carefully controlled. This finding is important because it shows that the emotional modulation of </w:t>
      </w:r>
      <w:r w:rsidR="00695C79">
        <w:t>gaze-cueing effect</w:t>
      </w:r>
      <w:r>
        <w:t xml:space="preserve"> is not merely an artifact of low-level perceptual differences between emotional and neutral faces. Rather, when such differences are accounted for, the effect remains, suggesting a genuine contribution of emotional significance to attentional orienting.</w:t>
      </w:r>
      <w:r w:rsidR="00695C79">
        <w:t xml:space="preserve">  </w:t>
      </w:r>
    </w:p>
    <w:p w14:paraId="56AAF367" w14:textId="623D7A47" w:rsidR="000D4023" w:rsidRDefault="000D4023" w:rsidP="001D0389">
      <w:pPr>
        <w:ind w:firstLine="720"/>
        <w:jc w:val="both"/>
      </w:pPr>
      <w:r>
        <w:t xml:space="preserve">Theoretically, the enhancement of the </w:t>
      </w:r>
      <w:r w:rsidR="00695C79">
        <w:t>gaze-cueing effect</w:t>
      </w:r>
      <w:r>
        <w:t xml:space="preserve"> by fearful expressions is thought to reflect the adaptive significance of threat detection. Attentional vigilance to threatening faces has been extensively documented in the dot-probe paradigm</w:t>
      </w:r>
      <w:r w:rsidR="00695C79">
        <w:t>.</w:t>
      </w:r>
      <w:r>
        <w:t xml:space="preserve"> </w:t>
      </w:r>
      <w:r w:rsidR="00695C79">
        <w:t xml:space="preserve">This type of </w:t>
      </w:r>
      <w:r w:rsidR="00B85699">
        <w:t>experiment</w:t>
      </w:r>
      <w:r w:rsidR="00695C79">
        <w:t xml:space="preserve"> focuses </w:t>
      </w:r>
      <w:r w:rsidR="00B85699">
        <w:t>on</w:t>
      </w:r>
      <w:r w:rsidR="00695C79">
        <w:t xml:space="preserve"> implicit attentional bias due to a design similar somehow with Posner paradigm (after a point, and two different stimuli flashes on the screen). One important result </w:t>
      </w:r>
      <w:r w:rsidR="00B85699">
        <w:t>show</w:t>
      </w:r>
      <w:r w:rsidR="00695C79">
        <w:t xml:space="preserve"> that</w:t>
      </w:r>
      <w:r>
        <w:t xml:space="preserve"> individuals with high trait anxiety detect dot probes faster when they are preceded by threatening stimuli than by neutral or positive stimuli (Bradley et al., 2000; Mogg &amp; Bradley, 1999). Similarly, the "threat-superiority effect" in visual search demonstrates that angry faces are detected faster in arrays of neutral or happy faces than vice versa (Eastwood et al., 2001; Fox et al., 2000; Öhman et al., 2001). </w:t>
      </w:r>
      <w:r w:rsidR="0036492D">
        <w:lastRenderedPageBreak/>
        <w:t xml:space="preserve">The importance of anxiety is also highlighted in studies that </w:t>
      </w:r>
      <w:r w:rsidR="00B85699">
        <w:t>focus</w:t>
      </w:r>
      <w:r w:rsidR="0036492D">
        <w:t xml:space="preserve"> specifically </w:t>
      </w:r>
      <w:r w:rsidR="00B85699">
        <w:t>on</w:t>
      </w:r>
      <w:r w:rsidR="0036492D">
        <w:t xml:space="preserve"> gaze cueing effect. </w:t>
      </w:r>
      <w:r>
        <w:t>Within the specific context of gaze orienting, Mathews et al. (2003) first reported a greater gaze orienting effect for fearful compared to neutral faces in participants with high trait anxiety, a finding that has since been replicated (Fox et al., 2007; Holmes et al., 2006; Tipples, 2006). The explanation for this enhancement is intuitive: if another person's fear signals the presence of a threat in the environment, attending to the gazed-at location can be beneficial for personal safety. High-anxious individuals, who have a lower threshold for threat processing, may therefore show a stronger attentional orienting response to fearful faces (Mathews et al., 2003).</w:t>
      </w:r>
    </w:p>
    <w:p w14:paraId="77488A1C" w14:textId="10CDFA8D" w:rsidR="000D4023" w:rsidRDefault="000D4023" w:rsidP="0088599B">
      <w:pPr>
        <w:ind w:firstLine="720"/>
        <w:jc w:val="both"/>
      </w:pPr>
      <w:r>
        <w:t xml:space="preserve">It is important to note, however, that not all threatening expressions produce the same effect. Anger, for instance, is also a threatening expression, but its interaction with gaze direction is more complex. While fearful faces with averted gaze produce an enhanced gaze orienting effect, angry faces with averted gaze do not show a comparable enhancement. The logic is that another person's anger is most threatening when directed at oneself, rather than elsewhere. </w:t>
      </w:r>
      <w:r w:rsidR="00D77F1E" w:rsidRPr="00D77F1E">
        <w:t>This distinction can be understood in terms of the functional roles of the two emotions</w:t>
      </w:r>
      <w:r w:rsidR="00D77F1E">
        <w:t xml:space="preserve"> </w:t>
      </w:r>
      <w:r w:rsidR="00B85699">
        <w:t>in the</w:t>
      </w:r>
      <w:r w:rsidR="00D77F1E">
        <w:t xml:space="preserve"> classical fight-freeze-flight response</w:t>
      </w:r>
      <w:r w:rsidR="00D77F1E" w:rsidRPr="00D77F1E">
        <w:t>. Fear signals the presence of a threat in the environment: if someone looks afraid and their gaze is directed elsewhere, the threat is likely located at the gazed-at location. Anger, however, signals a direct social confrontation: an angry person is themselves the source of threat. Therefore, an angry face with direct gaze should capture attention strongly, whereas an angry face with averted gaze should not enhance orienting toward the gazed-at location</w:t>
      </w:r>
      <w:r w:rsidR="0036492D">
        <w:t xml:space="preserve">. </w:t>
      </w:r>
      <w:r>
        <w:t>Thus, an angry face with averted gaze would not be expected to enhance orienting toward the gazed-at location in the same way as a fearful face (Fox et al., 2007). Consistent with this, Fox et al. (2007) showed an enhanced gaze orienting effect to fearful compared to angry faces in anxious individuals, while in a straight-gaze condition, responses were significantly slower for anger than for any other emotion</w:t>
      </w:r>
      <w:r w:rsidR="0036492D">
        <w:t xml:space="preserve">. </w:t>
      </w:r>
      <w:r w:rsidR="00D77F1E" w:rsidRPr="00D77F1E">
        <w:t>A plausible explanation is that direct gaze combined with an angry expression strongly engages attention, slowing orienting to peripheral targets. This interpretation is consistent with the view that the combination of direct gaze and anger signals an immediate social threat, thereby capturing attentional resources that would otherwise be available for target processing.</w:t>
      </w:r>
    </w:p>
    <w:p w14:paraId="3DC892F0" w14:textId="3597E248" w:rsidR="00AF4995" w:rsidRDefault="00AF4995" w:rsidP="001D0389">
      <w:pPr>
        <w:ind w:firstLine="720"/>
        <w:jc w:val="both"/>
      </w:pPr>
      <w:r>
        <w:t xml:space="preserve">Beyond emotional expression, the social meaning conveyed by the face also modulates the gaze-cueing effect. One of the most intensively investigated facial cues in this respect is dominance. Evidence from non-human primates suggests that sensitivity to dominance cues modulates the gaze-cuing effect. Shepherd and colleagues (2006) reported that male macaques showed stronger gaze-cuing when the face belonged to a dominant male than when it belonged to a subordinate one. </w:t>
      </w:r>
      <w:commentRangeStart w:id="12"/>
      <w:r>
        <w:t>This result indicates that the tendency to orient attention more strongly toward dominant individuals is not uniquely human, but may reflect an evolutionarily conserved mechanism shared across primate species.</w:t>
      </w:r>
      <w:commentRangeEnd w:id="12"/>
      <w:r w:rsidR="00B956AC">
        <w:rPr>
          <w:rStyle w:val="CommentReference"/>
          <w:sz w:val="24"/>
          <w:szCs w:val="24"/>
        </w:rPr>
        <w:commentReference w:id="12"/>
      </w:r>
    </w:p>
    <w:p w14:paraId="3F2E4C0D" w14:textId="48474E46" w:rsidR="00AF4995" w:rsidRDefault="00AF4995" w:rsidP="001D0389">
      <w:pPr>
        <w:ind w:firstLine="720"/>
        <w:jc w:val="both"/>
      </w:pPr>
      <w:r>
        <w:lastRenderedPageBreak/>
        <w:t>A parallel pattern has been observed in humans. Jones et al. (2009) manipulated face shape using computer-graphic techniques (Tiddeman et al., 2001) to create masculinized and feminized versions of the same faces. Both male and female observers showed larger gaze-cu</w:t>
      </w:r>
      <w:r w:rsidR="001D0389">
        <w:t>e</w:t>
      </w:r>
      <w:r>
        <w:t>ing effects for masculinized faces. This is important because masculinized faces are consistently perceived as more dominant than feminized ones (Perrett et al., 1998; Watkins et al., 2010), and masculine facial features have been linked to objective indicators of dominance, such as physical strength (Fink et al., 2007) and scores on social dominance questionnaires (Quist et al., 2011). The convergence between the macaque and human data thus points to a shared sensitivity to dominance cues in the regulation of social attention.</w:t>
      </w:r>
    </w:p>
    <w:p w14:paraId="1F5FCC90" w14:textId="71079467" w:rsidR="00AF4995" w:rsidRDefault="00AF4995" w:rsidP="001D0389">
      <w:pPr>
        <w:ind w:firstLine="720"/>
        <w:jc w:val="both"/>
      </w:pPr>
      <w:r>
        <w:t>Interestingly, the effect of facial dominance in Jones et al.'s study was observed not only when observers judged faces of the opposite sex, but also when women viewed other women's faces. This is somewhat surprising given the long-standing assumption that dominance is less relevant for female social behavior than for male social behavior (for a review, see Buunk et al., 2008</w:t>
      </w:r>
      <w:r w:rsidR="001D0389">
        <w:t xml:space="preserve"> apud. Jones, 2011</w:t>
      </w:r>
      <w:r>
        <w:t xml:space="preserve">). The fact that dominance cues influenced gaze cuing even in female–female dyads </w:t>
      </w:r>
      <w:r w:rsidR="001D0389">
        <w:t>suggest</w:t>
      </w:r>
      <w:r>
        <w:t xml:space="preserve"> that, at the level of automatic orienting, dominance information is processed irrespective of the observer's gender. Moreover, the effect decreased as stimulus onset asynchrony increased, supporting the idea that it arises from fast, involuntary processes rather than from deliberative social judgments.</w:t>
      </w:r>
    </w:p>
    <w:p w14:paraId="62934735" w14:textId="24D0F129" w:rsidR="00AF4995" w:rsidRDefault="00AF4995" w:rsidP="001D0389">
      <w:pPr>
        <w:ind w:firstLine="720"/>
        <w:jc w:val="both"/>
      </w:pPr>
      <w:r>
        <w:t xml:space="preserve">The influence of perceived social status, which is conceptually related to dominance, provides further evidence that the </w:t>
      </w:r>
      <w:r w:rsidR="001D0389">
        <w:t>gaze-cueing effect</w:t>
      </w:r>
      <w:r>
        <w:t xml:space="preserve"> is shaped by socially relevant knowledge about the cueing face. In a study by Dalmaso et al. (201</w:t>
      </w:r>
      <w:r w:rsidR="001D0389">
        <w:t>1</w:t>
      </w:r>
      <w:r>
        <w:t xml:space="preserve">), participants were presented with faces that had been previously associated with either high or low social status through fictional curricula vitae. The results showed that faces perceived as high-status elicited a larger </w:t>
      </w:r>
      <w:r w:rsidR="001D0389">
        <w:t>gaze-cueing effect</w:t>
      </w:r>
      <w:r>
        <w:t xml:space="preserve"> than low-status faces, even though the faces themselves were physically identical across conditions. This finding demonstrates that the </w:t>
      </w:r>
      <w:r w:rsidR="001D0389">
        <w:t>gaze-cueing effect</w:t>
      </w:r>
      <w:r>
        <w:t xml:space="preserve"> is not determined solely by the physical properties of the </w:t>
      </w:r>
      <w:r w:rsidR="001D0389">
        <w:t>face but</w:t>
      </w:r>
      <w:r>
        <w:t xml:space="preserve"> is flexibly shaped by socially relevant knowledge about the person. Such flexibility is a hallmark of higher-order social cognition operating on top of a fundamental reflexive mechanism.</w:t>
      </w:r>
      <w:r w:rsidR="00F2340E">
        <w:t xml:space="preserve"> </w:t>
      </w:r>
    </w:p>
    <w:p w14:paraId="4C3FA46C" w14:textId="3DF9528D" w:rsidR="00E74D99" w:rsidRDefault="00E74D99" w:rsidP="00E74D99">
      <w:pPr>
        <w:ind w:firstLine="720"/>
        <w:jc w:val="both"/>
      </w:pPr>
      <w:r>
        <w:t xml:space="preserve">Beyond dominance-related cues, other socially relevant characteristics of the face can also influence the gaze-cueing effect. One of the most relevant examples is facial attractiveness. Kloth et al. (2011) found that faces perceived as attractive produced a larger gaze-cueing effect than unattractive faces, particularly when the observer was of the opposite sex. This result suggests that the motivational significance of the face, specifically, its relevance in a mating context, enhances the attentional response to its gaze. From an evolutionary perspective, a greater sensitivity to the gaze of attractive individuals may be adaptive, as it could facilitate social approach behavior and mate selection. Although not all studies have replicated this effect (for a </w:t>
      </w:r>
      <w:r>
        <w:lastRenderedPageBreak/>
        <w:t>null result, see Roth, 2022), the available evidence reinforces the view that the gaze-cueing effect, despite its automatic character, is not purely reflexive but is also shaped by the social and motivational significance of the cueing face.</w:t>
      </w:r>
    </w:p>
    <w:p w14:paraId="14FCCC3F" w14:textId="58B6EB32" w:rsidR="00F2340E" w:rsidRDefault="00E74D99" w:rsidP="00E74D99">
      <w:pPr>
        <w:ind w:firstLine="720"/>
        <w:jc w:val="both"/>
      </w:pPr>
      <w:commentRangeStart w:id="13"/>
      <w:r>
        <w:t>The role of facial characteristics becomes even clearer when considering emotional expressions (Ekman, 1992). As discussed earlier, emotional faces, particularly those expressing fear, have been shown to modulate the gaze-cueing effect reliably under certain conditions. Because emotional expression is one of the most robust facial modulators, the present study will use a neutral face as the cueing stimulus. This choice ensures that emotional content does not confound the effects of the sense of agency on attentional orienting, allowing for a cleaner interpretation of the results.</w:t>
      </w:r>
      <w:commentRangeEnd w:id="13"/>
      <w:r w:rsidR="00B956AC">
        <w:rPr>
          <w:rStyle w:val="CommentReference"/>
          <w:sz w:val="24"/>
          <w:szCs w:val="24"/>
        </w:rPr>
        <w:commentReference w:id="13"/>
      </w:r>
    </w:p>
    <w:p w14:paraId="7CD46A12" w14:textId="56FC58B3" w:rsidR="00C4339B" w:rsidRDefault="00C4339B" w:rsidP="00C4339B">
      <w:pPr>
        <w:ind w:firstLine="720"/>
        <w:jc w:val="both"/>
      </w:pPr>
      <w:r>
        <w:t>Familiarity with the face also plays a role in modulating the gaze-cueing effect, although its influence appears to interact with the observer's gender. Deaner et al. (2007) found that familiar faces produced a larger cueing effect than unfamiliar faces, but this effect was specific to female participants. Male participants, in contrast, did not show a significant difference in cueing magnitude between familiar and unfamiliar faces. This interaction between familiarity and observer gender suggests that the social relevance of a face may be processed differently by men and women (Sy et al., 2007), possibly reflecting the greater adaptive significance of social information for females in certain contexts. This finding also illustrates the importance of considering interactions between stimulus characteristics and observer traits when studying the gaze-cueing effect.</w:t>
      </w:r>
    </w:p>
    <w:p w14:paraId="2E8BD7C5" w14:textId="74C8C8F8" w:rsidR="00C4339B" w:rsidRDefault="00C4339B" w:rsidP="00C4339B">
      <w:pPr>
        <w:ind w:firstLine="720"/>
        <w:jc w:val="both"/>
      </w:pPr>
      <w:r>
        <w:t>Finally, the history of cooperation and perceived trustworthiness of the cueing face has a robust influence on the gaze-cueing effect. In a series of experiments, Strachan and Tipper (2017) demonstrated that faces previously associated with valid, cooperative gaze behavior induced a larger gaze-cueing effect than faces that had been uncooperative, even when the learning was incidental. Importantly, this modulation was durable: the effect persisted up to an hour after the learning episode, indicating that social reputation can exert a lasting influence on attentional orienting. This finding is particularly relevant for the present study because it demonstrates that the gaze-cueing effect is sensitive to the social history of the cueing agent.</w:t>
      </w:r>
      <w:commentRangeStart w:id="14"/>
    </w:p>
    <w:p w14:paraId="105F6948" w14:textId="77BC1A0A" w:rsidR="00F2340E" w:rsidRDefault="00C4339B" w:rsidP="00C4339B">
      <w:pPr>
        <w:ind w:firstLine="720"/>
        <w:jc w:val="both"/>
      </w:pPr>
      <w:r>
        <w:t>If the gaze-cueing effect can be modulated by whether the face has been trustworthy in the past, then it is plausible that it can also be modulated by whether the observer himself or herself is the one who caused the gaze shift, i.e. by the sense of agency. This is precisely the central question of the present work. Before the discussion about the sense of agency, we will continue with the modulators of the person who is presents the gaze cueing effect.</w:t>
      </w:r>
      <w:commentRangeEnd w:id="14"/>
      <w:r w:rsidR="00D5051A">
        <w:rPr>
          <w:rStyle w:val="CommentReference"/>
          <w:sz w:val="24"/>
          <w:szCs w:val="24"/>
        </w:rPr>
        <w:commentReference w:id="14"/>
      </w:r>
    </w:p>
    <w:p w14:paraId="7E481F3A" w14:textId="30781759" w:rsidR="00D918E9" w:rsidRDefault="00D918E9" w:rsidP="00D918E9">
      <w:pPr>
        <w:ind w:firstLine="720"/>
        <w:jc w:val="both"/>
      </w:pPr>
      <w:r>
        <w:t xml:space="preserve">Beyond the familiarity effect manifested in women, one of the most consistently reported observer-related modulators of the gaze-cueing effect is gender. Bayliss et al. (2005) found that </w:t>
      </w:r>
      <w:r>
        <w:lastRenderedPageBreak/>
        <w:t>women tend to exhibit a larger gaze-cueing effect than men, and that the magnitude of the effect correlates negatively with self-reported autistic traits. This finding suggests that gender differences in social attention may reflect more general differences in the sensitivity to social signals, with women on average showing a stronger automatic orienting response to gaze. The negative correlation with autistic traits is also noteworthy, as it links individual differences in the gaze-cueing effect to broader social-cognitive processing styles.</w:t>
      </w:r>
    </w:p>
    <w:p w14:paraId="0ABB3799" w14:textId="1FF1D926" w:rsidR="00E02BA3" w:rsidRDefault="00D918E9" w:rsidP="00D918E9">
      <w:pPr>
        <w:ind w:firstLine="720"/>
        <w:jc w:val="both"/>
      </w:pPr>
      <w:r>
        <w:t>The stronger gaze-cueing effect observed in women may reflect more general psychological and neurobiological differences between the sexes</w:t>
      </w:r>
      <w:r w:rsidR="004869FD">
        <w:t xml:space="preserve"> (Alwall et al., 2010)</w:t>
      </w:r>
      <w:r>
        <w:t xml:space="preserve">. Women are often considered to be more socially oriented than men (Baron-Cohen, 2003; Geary, 2006), and neuroimaging evidence indicates that the female brain responds more strongly to scenes involving people than to inanimate scenes (Proverbio et al., 2008). These adult differences appear to emerge very early in development. For example, female newborns show stronger interest in faces than male newborns (Connellan et al., 2000), and infant girls later display greater visual preferences for dolls over mechanical objects (Alexander et al., 2009) and for biological over mechanical motion (Lutchmaya &amp; Baron-Cohen, 2002). One proposed mechanism for these early-emerging sex differences involves prenatal testosterone, which is typically higher in males and has been linked to brain and behavioural masculinization (Cahill, 2006; Swaab, 2007). Indirect markers of prenatal testosterone exposure, such as amniotic testosterone levels and the 2D:4D digit ratio, have been associated with empathizing and systemizing tendencies (Auyeung et al., 2006; Manning et al., 2010; von Horn et al., 2010). These findings suggest that the heightened sensitivity to gaze in women may be rooted in both early biological predispositions and later social-cognitive processes. </w:t>
      </w:r>
      <w:commentRangeStart w:id="15"/>
      <w:r>
        <w:t>In the present study, gender was recorded and can be included as a covariate to ensure that the effects of agency on the gaze-cueing effect are not confounded with gender differences.</w:t>
      </w:r>
      <w:commentRangeEnd w:id="15"/>
      <w:r w:rsidR="00D5051A">
        <w:rPr>
          <w:rStyle w:val="CommentReference"/>
          <w:sz w:val="24"/>
          <w:szCs w:val="24"/>
        </w:rPr>
        <w:commentReference w:id="15"/>
      </w:r>
    </w:p>
    <w:p w14:paraId="71BB97DF" w14:textId="53FCC983" w:rsidR="00E02BA3" w:rsidRDefault="00E02BA3" w:rsidP="00680962">
      <w:pPr>
        <w:ind w:firstLine="720"/>
        <w:jc w:val="both"/>
      </w:pPr>
      <w:r>
        <w:t xml:space="preserve">Age is another observer-related factor that shapes the </w:t>
      </w:r>
      <w:r w:rsidR="00680962">
        <w:t>gaze-cueing effect</w:t>
      </w:r>
      <w:r>
        <w:t xml:space="preserve">. </w:t>
      </w:r>
      <w:r w:rsidR="003F7305">
        <w:t xml:space="preserve">In the first part of presentation we mentioned the prevalence of the effect even at the very first days of life. </w:t>
      </w:r>
      <w:r>
        <w:t xml:space="preserve">Research has shown that older adults exhibit a decline in the reflexive components of gaze-triggered orienting, while overt gaze following remains relatively preserved. For example, Slessor et al. (2010) found that older adults showed reduced integration of gaze direction with facial expressions of emotion, suggesting that the more complex aspects of social attention are particularly vulnerable to aging. Similarly, Kuhn et al. (2015) reported that older adults did not show the same anticipatory bias toward gaze direction in their saccades as younger adults, indicating a decline in the automatic, reflexive components of gaze following. These findings demonstrate that the </w:t>
      </w:r>
      <w:r w:rsidR="00680962">
        <w:t>gaze-cueing effect</w:t>
      </w:r>
      <w:r>
        <w:t xml:space="preserve"> is not a monolithic phenomenon, but consists of multiple components, some of which are more vulnerable to age-related decline than others. In the present study, the use of a young adult sample ensures that the effects of agency are not </w:t>
      </w:r>
      <w:r>
        <w:lastRenderedPageBreak/>
        <w:t>confounded with age-related changes in attention.</w:t>
      </w:r>
      <w:r w:rsidR="00680962">
        <w:t xml:space="preserve"> </w:t>
      </w:r>
      <w:r w:rsidR="003F7305" w:rsidRPr="003F7305">
        <w:t>The mechanisms underlying this age-related decline are not yet fully understood, but several non-exclusive explanations have been proposed</w:t>
      </w:r>
      <w:r w:rsidR="003F7305">
        <w:t>.</w:t>
      </w:r>
    </w:p>
    <w:p w14:paraId="495CF323" w14:textId="4FEE250D" w:rsidR="003F7305" w:rsidRDefault="003F7305" w:rsidP="00680962">
      <w:pPr>
        <w:ind w:firstLine="720"/>
        <w:jc w:val="both"/>
      </w:pPr>
      <w:commentRangeStart w:id="16"/>
      <w:r w:rsidRPr="003F7305">
        <w:t>Several mechanisms have been proposed to explain this age-related decline in reflexive gaze orienting. One possibility is that older adults experience a general slowing of processing speed, which particularly affects rapid, automatic responses (Salthouse, 1996). Another is that age-related changes in the neural networks supporting social attention, including the superior temporal sulcus and the fronto-parietal network, reduce the efficiency of gaze processing (Kuhn et al., 2015). These explanations are not mutually exclusive; rather, they suggest that the decline in reflexive gaze orienting in older adults may arise from a combination of general cognitive slowing and specific changes in social-attentional circuits.</w:t>
      </w:r>
      <w:commentRangeEnd w:id="16"/>
      <w:r w:rsidR="00D5051A">
        <w:rPr>
          <w:rStyle w:val="CommentReference"/>
          <w:sz w:val="24"/>
          <w:szCs w:val="24"/>
        </w:rPr>
        <w:commentReference w:id="16"/>
      </w:r>
    </w:p>
    <w:p w14:paraId="7242EA15" w14:textId="58FC2A6D" w:rsidR="00E02BA3" w:rsidRDefault="00E02BA3" w:rsidP="00E02BA3">
      <w:pPr>
        <w:ind w:firstLine="720"/>
        <w:jc w:val="both"/>
      </w:pPr>
      <w:r>
        <w:t xml:space="preserve">Anxiety is an internal state that has been extensively investigated as a modulator of social attention. </w:t>
      </w:r>
      <w:r w:rsidR="003F7305">
        <w:t>As we have seen in the discussion about the modularity of the expression of the face, anxiety plays a role in the gaze cueing effect.</w:t>
      </w:r>
      <w:r>
        <w:t xml:space="preserve"> This finding suggests that anxious individuals are hypervigilant to social signals that may indicate threat, and that this hypervigilance extends to the automatic orienting of attention in response to gaze. However, not all studies have confirmed this effect. Talipski et al. (2021), in a large sample of female participants, found that social anxiety did not significantly modulate the </w:t>
      </w:r>
      <w:r w:rsidR="003F7305">
        <w:t>gaze cueing effect</w:t>
      </w:r>
      <w:r>
        <w:t xml:space="preserve">, despite the effect itself being large and reliable. This inconsistency suggests that the relationship between anxiety and </w:t>
      </w:r>
      <w:r w:rsidR="003F7305">
        <w:t>gaze cueing effect</w:t>
      </w:r>
      <w:r>
        <w:t xml:space="preserve"> is complex and may depend on the specific type of anxiety measured, the sample characteristics, or the experimental task. The contrast between these studies is instructive: it demonstrates that not all internal traits modulate the </w:t>
      </w:r>
      <w:r w:rsidR="00794A9E">
        <w:t>gaze cueing effect</w:t>
      </w:r>
      <w:r>
        <w:t xml:space="preserve"> equally, and that the question of which internal factors do and do not influence the effect remains an open empirical issue. This is precisely the context in which the present study is situated: the sense of agency is an internal state that has not been systematically investigated as a modulator of </w:t>
      </w:r>
      <w:r w:rsidR="00794A9E">
        <w:t>gaze cueing effect</w:t>
      </w:r>
      <w:r>
        <w:t>, and its potential influence remains an open question.</w:t>
      </w:r>
      <w:commentRangeStart w:id="17"/>
    </w:p>
    <w:p w14:paraId="1E9D347F" w14:textId="2FD41573" w:rsidR="00794A9E" w:rsidRDefault="00794A9E" w:rsidP="00794A9E">
      <w:pPr>
        <w:ind w:firstLine="720"/>
        <w:jc w:val="both"/>
      </w:pPr>
      <w:r>
        <w:t xml:space="preserve">Individual differences in autistic-like traits have also been linked to the magnitude of the gaze-cueing effect. Bayliss </w:t>
      </w:r>
      <w:r w:rsidR="00CB1E70">
        <w:t>&amp; Tipper</w:t>
      </w:r>
      <w:r>
        <w:t xml:space="preserve"> (2005) reported that scores on the Autism-Spectrum Quotient correlated negatively with the size of the gaze-cueing effect, suggesting that individuals with higher levels of autistic traits orient less strongly to gaze cues. Similarly, Hudson et al. (2012) found that individuals with high autistic-like traits showed reduced modulation of the </w:t>
      </w:r>
      <w:r w:rsidR="00CB1E70">
        <w:t>gaze cueing effect</w:t>
      </w:r>
      <w:r>
        <w:t xml:space="preserve"> by social factors, such as the trustworthiness of the cueing face. </w:t>
      </w:r>
      <w:commentRangeEnd w:id="17"/>
      <w:r w:rsidR="00410497">
        <w:rPr>
          <w:rStyle w:val="CommentReference"/>
          <w:sz w:val="24"/>
          <w:szCs w:val="24"/>
        </w:rPr>
        <w:commentReference w:id="17"/>
      </w:r>
      <w:r>
        <w:t xml:space="preserve">These findings are important because they suggest that the </w:t>
      </w:r>
      <w:r w:rsidR="00CB1E70">
        <w:t>gaze cueing effect</w:t>
      </w:r>
      <w:r>
        <w:t xml:space="preserve"> is not a uniform phenomenon across the population but varies systematically with individual differences in social-cognitive processing.</w:t>
      </w:r>
    </w:p>
    <w:p w14:paraId="0FF3B904" w14:textId="77777777" w:rsidR="00794A9E" w:rsidRDefault="00794A9E" w:rsidP="00794A9E">
      <w:pPr>
        <w:ind w:firstLine="720"/>
        <w:jc w:val="both"/>
      </w:pPr>
    </w:p>
    <w:p w14:paraId="67550113" w14:textId="6D39FC2F" w:rsidR="00794A9E" w:rsidRDefault="00794A9E" w:rsidP="00794A9E">
      <w:pPr>
        <w:ind w:firstLine="720"/>
        <w:jc w:val="both"/>
      </w:pPr>
      <w:r>
        <w:lastRenderedPageBreak/>
        <w:t>The atypical processing of gaze in autism is not simply a matter of reduced orienting</w:t>
      </w:r>
      <w:r w:rsidR="00CB1E70">
        <w:t xml:space="preserve"> (Riby et al., 2013)</w:t>
      </w:r>
      <w:r>
        <w:t>. Research using eye-tracking has revealed a more complex picture: individuals with autism may understand that they need to look at a person's face to answer a question, but they often fail to follow the person's gaze to the correct target. This dissociation between attending to the face and correctly interpreting the direction of gaze suggests that the problem lies not only in the allocation of social attention, but also in the interpretation of the social cue itself. Interestingly, this pattern differs from that observed in other developmental conditions. For example, individuals with Williams syndrome tend to over-attend to faces, yet also struggle to interpret gaze cues accurately. Thus, both under-attending and over-attending to social information can be problematic for the typical development of social cognition. These observations highlight the importance of distinguishing between mere attention to faces and the sophisticated interpretation of facial cues.</w:t>
      </w:r>
      <w:r w:rsidR="00CB1E70">
        <w:t xml:space="preserve"> </w:t>
      </w:r>
    </w:p>
    <w:p w14:paraId="4E7BDCBB" w14:textId="5269D439" w:rsidR="00E02BA3" w:rsidRDefault="00794A9E" w:rsidP="00794A9E">
      <w:pPr>
        <w:ind w:firstLine="720"/>
        <w:jc w:val="both"/>
      </w:pPr>
      <w:r>
        <w:t xml:space="preserve">These findings have two implications for the present study. First, they demonstrate that individual differences in social-cognitive processing can profoundly shape the gaze-cueing effect, reinforcing the idea that the effect is permeable to top-down influences. Second, they suggest that the modulation of the </w:t>
      </w:r>
      <w:r w:rsidR="00CB1E70">
        <w:t>gaze cueing effect</w:t>
      </w:r>
      <w:r>
        <w:t xml:space="preserve"> by the sense of agency</w:t>
      </w:r>
      <w:r w:rsidR="00CB1E70">
        <w:t>,</w:t>
      </w:r>
      <w:r>
        <w:t xml:space="preserve"> a higher-order internal state</w:t>
      </w:r>
      <w:r w:rsidR="00CB1E70">
        <w:t>,</w:t>
      </w:r>
      <w:r>
        <w:t xml:space="preserve"> may vary across individuals, with some populations showing attenuated or absent modulation. In the present study, the use of a neurotypical sample allows for the initial characterization of this modulation, while leaving open the possibility of future research with clinical populations</w:t>
      </w:r>
      <w:r w:rsidR="00E02BA3">
        <w:t>.</w:t>
      </w:r>
    </w:p>
    <w:p w14:paraId="1405C0BE" w14:textId="4B768C77" w:rsidR="003F4F39" w:rsidRDefault="003F4F39" w:rsidP="003F4F39">
      <w:pPr>
        <w:ind w:firstLine="720"/>
        <w:jc w:val="both"/>
      </w:pPr>
      <w:r>
        <w:t>The social group membership of the cueing face is a powerful contextual modulator of the gaze-cueing effect. Pavan et al. (2011) found that faces belonging to the observer's own racial group elicited a larger gaze-cueing effect than faces from a different racial group. Similarly, Liuzza et al. (2011) showed that the gaze of politicians from the observer's own political group reflexively captured attention more strongly than the gaze of politicians from the opposing group. These findings demonstrate that the gaze-cueing effect is not blind to the social identity of the cueing face: instead, it is modulated by the perceived relevance and similarity of the face to the observer. This in-group bias suggests that social categorization processes can penetrate even relatively automatic components of social attention.</w:t>
      </w:r>
    </w:p>
    <w:p w14:paraId="2A6A3E10" w14:textId="3BBFE30F" w:rsidR="00E02BA3" w:rsidRDefault="003F4F39" w:rsidP="003F4F39">
      <w:pPr>
        <w:ind w:firstLine="720"/>
        <w:jc w:val="both"/>
      </w:pPr>
      <w:r>
        <w:t xml:space="preserve">The existence of such group-based modulation has direct methodological implications for experimental designs. In the present experiments, a Caucasian face was used as the cueing stimulus, matched to the participant sample. This choice was deliberate: by keeping the race of the cueing face constant and congruent with the observers' own group, the design avoids the potential confound of cross-race effects on gaze cueing, which could otherwise introduce systematic variation unrelated to the experimental manipulation of agency (Pavan et al., 2011). This control ensures that any observed modulation of the gaze-cueing effect can be attributed </w:t>
      </w:r>
      <w:r>
        <w:lastRenderedPageBreak/>
        <w:t>more confidently to the sense of agency, rather than to social categorization processes triggered by the face itself.</w:t>
      </w:r>
    </w:p>
    <w:p w14:paraId="16372E79" w14:textId="51EB6EB3" w:rsidR="00E02BA3" w:rsidRDefault="003F4F39" w:rsidP="00E02BA3">
      <w:pPr>
        <w:ind w:firstLine="720"/>
        <w:jc w:val="both"/>
      </w:pPr>
      <w:commentRangeStart w:id="18"/>
      <w:r w:rsidRPr="003F4F39">
        <w:t>Temporary internal states, such as those induced by social exclusion, have also been shown to modulate the gaze-cueing effect. Capellini et al. (2019) found that participants who had been experimentally subjected to social exclusion showed a reduced gaze-cueing effect compared to those who had not been excluded. This finding is particularly relevant for the present study because it demonstrates that the gaze-cueing effect is sensitive to the observer's current internal state, not just to stable traits or external stimulus properties. After social exclusion, individuals appear to withdraw from processing social signals, a pattern that has been interpreted as reflecting a temporary reduction in the motivation to engage with the social environment (Capellini et al., 2019). This finding provides a direct precedent for the idea that an internal state — such as the sense of agency — can shape the gaze-cueing effect.</w:t>
      </w:r>
      <w:commentRangeEnd w:id="18"/>
      <w:r w:rsidR="00410497">
        <w:rPr>
          <w:rStyle w:val="CommentReference"/>
          <w:sz w:val="24"/>
          <w:szCs w:val="24"/>
        </w:rPr>
        <w:commentReference w:id="18"/>
      </w:r>
    </w:p>
    <w:p w14:paraId="52E5AF3A" w14:textId="77777777" w:rsidR="003F4F39" w:rsidRDefault="003F4F39" w:rsidP="00E02BA3">
      <w:pPr>
        <w:ind w:firstLine="720"/>
        <w:jc w:val="both"/>
      </w:pPr>
      <w:r w:rsidRPr="003F4F39">
        <w:t>Personality traits have also been linked to individual differences in the gaze-cueing effect. Ponari et al. (2013) found that extraverts tend to exhibit a larger gaze-cueing effect than introverts, suggesting that the general tendency to approach social stimuli is reflected in the automatic orienting response to gaze. This result is consistent with the broader view that extraversion is associated with increased sensitivity to reward and social approach, which may lower the threshold for orienting attention to socially relevant cues such as gaze direction (Ponari et al., 2013). Conversely, introverts, who are less driven by social approach, may show a comparatively reduced orienting response. This finding is consistent with the broader view that the gaze-cueing effect is modulated by motivational and affective dispositions, not just by perceptual factors.</w:t>
      </w:r>
    </w:p>
    <w:p w14:paraId="559FC242" w14:textId="07043E85" w:rsidR="00E02BA3" w:rsidRDefault="00633745" w:rsidP="00E02BA3">
      <w:pPr>
        <w:ind w:firstLine="720"/>
        <w:jc w:val="both"/>
      </w:pPr>
      <w:commentRangeStart w:id="19"/>
      <w:r w:rsidRPr="00633745">
        <w:t>The type of task used to measure the gaze-cueing effect has a significant impact on its magnitude. Chen et al. (202</w:t>
      </w:r>
      <w:r>
        <w:t>1</w:t>
      </w:r>
      <w:r w:rsidRPr="00633745">
        <w:t>) directly compared target localization and target discrimination tasks within the same participants and found that localization tasks produced larger gaze-cueing effects than discrimination tasks.</w:t>
      </w:r>
      <w:commentRangeEnd w:id="19"/>
      <w:r w:rsidR="00410497" w:rsidRPr="00633745">
        <w:rPr>
          <w:rStyle w:val="CommentReference"/>
          <w:sz w:val="24"/>
          <w:szCs w:val="24"/>
        </w:rPr>
        <w:commentReference w:id="19"/>
      </w:r>
      <w:r w:rsidRPr="00633745">
        <w:t xml:space="preserve"> Moreover, the emotional enhancement of the gaze-cueing effect was present only in the localization task, suggesting that the cognitive demands of discrimination tasks interfere with the integration of emotional and gaze cues. This finding is highly relevant for the present study, because it demonstrates that the gaze-cueing effect is not a single, immutable phenomenon, but depends on the cognitive context in which it is measured. In the present experiments, a discrimination task was used, and the specific characteristics of this task may interact with the manipulation of agency in ways that will be explored in the discussion. This choice also aligns with prior work suggesting that discrimination tasks may be more sensitive to top-down influences, thereby providing a suitable context for detecting potential modulations of the gaze-cueing effect by the sense of agency.</w:t>
      </w:r>
    </w:p>
    <w:p w14:paraId="37537BF0" w14:textId="092A0412" w:rsidR="00E02BA3" w:rsidRDefault="00E02BA3" w:rsidP="00E02BA3">
      <w:pPr>
        <w:ind w:firstLine="720"/>
        <w:jc w:val="both"/>
      </w:pPr>
      <w:r>
        <w:lastRenderedPageBreak/>
        <w:t xml:space="preserve">The dynamic versus static presentation of the gaze cue also influences the magnitude of the </w:t>
      </w:r>
      <w:r w:rsidR="00250023" w:rsidRPr="00633745">
        <w:t>gaze-cueing effect</w:t>
      </w:r>
      <w:r>
        <w:t>. Lassalle and Itier (2015) found that dynamic gaze shifts produce a larger cueing effect than static images, and that this effect is modulated by autistic traits. Dynamic cues are more ecologically valid because they mimic the natural movement of the eyes, and they appear to engage additional processing mechanisms, such as the perception of biological motion. In the present experiments, a dynamic sequence was used, which should maximize the ecological realism of the gaze shift and the magnitude of the cueing effect</w:t>
      </w:r>
      <w:commentRangeStart w:id="20"/>
      <w:r>
        <w:t>.</w:t>
      </w:r>
    </w:p>
    <w:p w14:paraId="3DB8058D" w14:textId="7677A4EB" w:rsidR="00E02BA3" w:rsidRDefault="00E02BA3" w:rsidP="00E02BA3">
      <w:pPr>
        <w:ind w:firstLine="720"/>
        <w:jc w:val="both"/>
      </w:pPr>
      <w:r>
        <w:t xml:space="preserve">The predictiveness of the cue is another factor that shapes the </w:t>
      </w:r>
      <w:r w:rsidR="00250023" w:rsidRPr="00633745">
        <w:t>gaze-cueing effect</w:t>
      </w:r>
      <w:r>
        <w:t xml:space="preserve">, although perhaps not in the way one might expect. While arrows orient attention predominantly when they are predictive, gaze produces a robust effect even when it is non-predictive. Moreover, gaze continues to produce an effect even when it is counterpredictive, systematically indicating the opposite location of the target (Kuhn &amp; Kingstone, 2009; Tipples, 2008). This resistance to predictiveness is one of the defining features of the </w:t>
      </w:r>
      <w:r w:rsidR="00250023" w:rsidRPr="00633745">
        <w:t>gaze-cueing effect</w:t>
      </w:r>
      <w:r>
        <w:t xml:space="preserve"> and suggests that the mechanism underlying gaze-triggered orienting is distinct from that underlying symbolic cueing.</w:t>
      </w:r>
      <w:commentRangeEnd w:id="20"/>
      <w:r w:rsidR="00410497">
        <w:rPr>
          <w:rStyle w:val="CommentReference"/>
          <w:sz w:val="24"/>
          <w:szCs w:val="24"/>
        </w:rPr>
        <w:commentReference w:id="20"/>
      </w:r>
    </w:p>
    <w:p w14:paraId="4F327468" w14:textId="03476131" w:rsidR="00E02BA3" w:rsidRDefault="00250023" w:rsidP="00C4339B">
      <w:pPr>
        <w:ind w:firstLine="720"/>
        <w:jc w:val="both"/>
      </w:pPr>
      <w:r w:rsidRPr="00250023">
        <w:t xml:space="preserve">Finally, the gaze-cueing effect is not abolished by increased cognitive load or perceptual distraction. Gregory and Jackson (2021) found that the effect became even stronger when attentional resources were depleted, suggesting that the orienting triggered by gaze is highly robust and difficult to suppress. This finding is consistent with the view of the gaze-cueing effect as a fundamental, deeply rooted mechanism that operates largely independently of voluntary control. At the same time, it does not preclude the possibility of top-down modulation, as the previous sections have demonstrated. If anything, the fact that the effect persists — and is even amplified — under load underscores the challenge of understanding how internal states, such as the sense of agency, may interact with such a robust process. This tension between automaticity and modulability lies at the heart of the present </w:t>
      </w:r>
      <w:commentRangeStart w:id="21"/>
      <w:r w:rsidRPr="00250023">
        <w:t>work</w:t>
      </w:r>
      <w:commentRangeEnd w:id="21"/>
      <w:r w:rsidR="00410497" w:rsidRPr="00250023">
        <w:rPr>
          <w:rStyle w:val="CommentReference"/>
          <w:sz w:val="24"/>
          <w:szCs w:val="24"/>
        </w:rPr>
        <w:commentReference w:id="21"/>
      </w:r>
      <w:r w:rsidRPr="00250023">
        <w:t>.</w:t>
      </w:r>
    </w:p>
    <w:p w14:paraId="23E85260" w14:textId="77777777" w:rsidR="008E4CB1" w:rsidRDefault="008E4CB1" w:rsidP="00C4339B">
      <w:pPr>
        <w:ind w:firstLine="720"/>
        <w:jc w:val="both"/>
      </w:pPr>
    </w:p>
    <w:p w14:paraId="352A4A56" w14:textId="6A1DD538" w:rsidR="004869FD" w:rsidRDefault="004869FD" w:rsidP="001D0389">
      <w:pPr>
        <w:pStyle w:val="ListParagraph"/>
        <w:numPr>
          <w:ilvl w:val="0"/>
          <w:numId w:val="2"/>
        </w:numPr>
        <w:jc w:val="both"/>
      </w:pPr>
      <w:r w:rsidRPr="004869FD">
        <w:t>Alexander, G. M., Wilcox, T., &amp; Woods, R. (2009). Sex differences in infants’ visual interest in toys. Archives of sexual behavior, 38(3), 427-433.</w:t>
      </w:r>
    </w:p>
    <w:p w14:paraId="5DD8C095" w14:textId="1589A63B" w:rsidR="00553D99" w:rsidRDefault="00553D99" w:rsidP="001D0389">
      <w:pPr>
        <w:pStyle w:val="ListParagraph"/>
        <w:numPr>
          <w:ilvl w:val="0"/>
          <w:numId w:val="2"/>
        </w:numPr>
        <w:jc w:val="both"/>
      </w:pPr>
      <w:r>
        <w:t>Alister, M., McKay, K. T., Sewell, D. K., &amp; Evans, N. J. (2024). Uncovering the cognitive mechanisms underlying the gaze cueing effect. Quarterly Journal of Experimental Psychology, 77(4), 803-827.</w:t>
      </w:r>
      <w:r w:rsidR="004869FD">
        <w:t xml:space="preserve"> </w:t>
      </w:r>
    </w:p>
    <w:p w14:paraId="3071D3D5" w14:textId="005EF107" w:rsidR="004869FD" w:rsidRDefault="004869FD" w:rsidP="001D0389">
      <w:pPr>
        <w:pStyle w:val="ListParagraph"/>
        <w:numPr>
          <w:ilvl w:val="0"/>
          <w:numId w:val="2"/>
        </w:numPr>
        <w:jc w:val="both"/>
      </w:pPr>
      <w:r w:rsidRPr="004869FD">
        <w:t>Alwall, N., Johansson, D., &amp; Hansen, S. (2010). The gender difference in gaze-cueing: Associations with empathizing and systemizing. Personality and Individual Differences, 49(7), 729-732.</w:t>
      </w:r>
    </w:p>
    <w:p w14:paraId="4E3B61AE" w14:textId="1B193473" w:rsidR="004869FD" w:rsidRDefault="004869FD" w:rsidP="001D0389">
      <w:pPr>
        <w:pStyle w:val="ListParagraph"/>
        <w:numPr>
          <w:ilvl w:val="0"/>
          <w:numId w:val="2"/>
        </w:numPr>
        <w:jc w:val="both"/>
      </w:pPr>
      <w:r w:rsidRPr="004869FD">
        <w:t>Auyeung, B., Baron‐Cohen, S., Ashwin, E., Knickmeyer, R., Taylor, K., &amp; Hackett, G. (2009). Fetal testosterone and autistic traits. British journal of psychology, 100(1), 1-22.</w:t>
      </w:r>
    </w:p>
    <w:p w14:paraId="39B8A59C" w14:textId="3489B114" w:rsidR="00D918E9" w:rsidRDefault="00D918E9" w:rsidP="001D0389">
      <w:pPr>
        <w:pStyle w:val="ListParagraph"/>
        <w:numPr>
          <w:ilvl w:val="0"/>
          <w:numId w:val="2"/>
        </w:numPr>
        <w:jc w:val="both"/>
      </w:pPr>
      <w:r w:rsidRPr="00D918E9">
        <w:lastRenderedPageBreak/>
        <w:t>Baron-Cohen, S. (2003). The essential difference: Men, women and the extreme male brain.</w:t>
      </w:r>
    </w:p>
    <w:p w14:paraId="5F60EC9E" w14:textId="181750A3" w:rsidR="00553D99" w:rsidRDefault="00553D99" w:rsidP="001D0389">
      <w:pPr>
        <w:pStyle w:val="ListParagraph"/>
        <w:numPr>
          <w:ilvl w:val="0"/>
          <w:numId w:val="2"/>
        </w:numPr>
        <w:jc w:val="both"/>
      </w:pPr>
      <w:r>
        <w:t>Baron-Cohen, S., Wheelwright, S., &amp; Jolliffe, T. (1997). Is there a “language of the eyes”? Evidence from normal adults, and adults with autism or Asperger syndrome. Visual Cognition, 4(3), 311–331. https://doi.org/10.1080/135062897395689</w:t>
      </w:r>
    </w:p>
    <w:p w14:paraId="24625718" w14:textId="3B2BD38E" w:rsidR="00553D99" w:rsidRDefault="00553D99" w:rsidP="001D0389">
      <w:pPr>
        <w:pStyle w:val="ListParagraph"/>
        <w:numPr>
          <w:ilvl w:val="0"/>
          <w:numId w:val="2"/>
        </w:numPr>
        <w:jc w:val="both"/>
      </w:pPr>
      <w:r>
        <w:t>Baron-Cohen, S. (1995). Mindblindness: An essay on autism and theory of mind. MIT Press.</w:t>
      </w:r>
    </w:p>
    <w:p w14:paraId="6BB40A8F" w14:textId="700BD25A" w:rsidR="00553D99" w:rsidRDefault="00553D99" w:rsidP="001D0389">
      <w:pPr>
        <w:pStyle w:val="ListParagraph"/>
        <w:numPr>
          <w:ilvl w:val="0"/>
          <w:numId w:val="2"/>
        </w:numPr>
        <w:jc w:val="both"/>
      </w:pPr>
      <w:r>
        <w:t>Batki, A., Baron-Cohen, S., Wheelwright, S., Connellan, J., &amp; Ahluwalia, J. (2000). Is there an innate gaze module? Evidence from human neonates. Infant Behavior and Development, 23(2), 223–229. https://doi.org/10.1016/S0163-6383(01)00040-6</w:t>
      </w:r>
    </w:p>
    <w:p w14:paraId="7505FDCB" w14:textId="6BC17630" w:rsidR="00553D99" w:rsidRDefault="00553D99" w:rsidP="001D0389">
      <w:pPr>
        <w:pStyle w:val="ListParagraph"/>
        <w:numPr>
          <w:ilvl w:val="0"/>
          <w:numId w:val="2"/>
        </w:numPr>
        <w:jc w:val="both"/>
      </w:pPr>
      <w:r>
        <w:t>Bayless, S. J., Glover, M., Taylor, M. J., &amp; Itier, R. J. (2011). Is it in the eyes? Dissociating the role of emotion and perceptual features of emotionally expressive faces in modulating orienting to eye gaze. Visual cognition, 19(4), 483-510.</w:t>
      </w:r>
    </w:p>
    <w:p w14:paraId="7AFB4853" w14:textId="2EC44827" w:rsidR="00CB1E70" w:rsidRDefault="00CB1E70" w:rsidP="001D0389">
      <w:pPr>
        <w:pStyle w:val="ListParagraph"/>
        <w:numPr>
          <w:ilvl w:val="0"/>
          <w:numId w:val="2"/>
        </w:numPr>
        <w:jc w:val="both"/>
      </w:pPr>
      <w:r w:rsidRPr="00CB1E70">
        <w:t>Bayliss, A. P., &amp; Tipper, S. P. (2005). Gaze and arrow cueing of attention reveals individual differences along the autism spectrum as a function of target context. British Journal of Psychology, 96(1), 95-114.</w:t>
      </w:r>
    </w:p>
    <w:p w14:paraId="01E639AE" w14:textId="767A2685" w:rsidR="00553D99" w:rsidRDefault="00CB1E70" w:rsidP="001D0389">
      <w:pPr>
        <w:pStyle w:val="ListParagraph"/>
        <w:numPr>
          <w:ilvl w:val="0"/>
          <w:numId w:val="2"/>
        </w:numPr>
        <w:jc w:val="both"/>
      </w:pPr>
      <w:r w:rsidRPr="00CB1E70">
        <w:t>Bayliss, A. P., Di Pellegrino, G., &amp; Tipper, S. P. (2005). Sex differences in eye gaze and symbolic cueing of attention. The Quarterly Journal of Experimental Psychology Section A, 58(4), 631-650.</w:t>
      </w:r>
      <w:r w:rsidR="00553D99">
        <w:t>.</w:t>
      </w:r>
      <w:r w:rsidR="000D4023">
        <w:t xml:space="preserve"> </w:t>
      </w:r>
    </w:p>
    <w:p w14:paraId="6214C0D7" w14:textId="2ADA923F" w:rsidR="000D4023" w:rsidRDefault="00CA2B9F" w:rsidP="001D0389">
      <w:pPr>
        <w:pStyle w:val="ListParagraph"/>
        <w:numPr>
          <w:ilvl w:val="0"/>
          <w:numId w:val="2"/>
        </w:numPr>
        <w:jc w:val="both"/>
      </w:pPr>
      <w:r>
        <w:t>Bradley, B. P., Mogg, K., &amp; Millar, N. H. (2000). Covert and overt orienting of attention to emotional faces in anxiety. Cognition and Emotion, 14(6), 789–808.</w:t>
      </w:r>
    </w:p>
    <w:p w14:paraId="767DA17E" w14:textId="5EC8A051" w:rsidR="001D0389" w:rsidRDefault="001D0389" w:rsidP="001D0389">
      <w:pPr>
        <w:pStyle w:val="ListParagraph"/>
        <w:numPr>
          <w:ilvl w:val="0"/>
          <w:numId w:val="2"/>
        </w:numPr>
        <w:jc w:val="both"/>
      </w:pPr>
      <w:r w:rsidRPr="001D0389">
        <w:t>Buunk, A. P., Park, J. H., Zurriaga, R., Klavina, L., &amp; Massar, K. (2008). Height predicts jealousy differently for men and women. Evolution and Human Behavior, 29(2), 133-139.</w:t>
      </w:r>
    </w:p>
    <w:p w14:paraId="3C28334A" w14:textId="4CAA89B3" w:rsidR="004869FD" w:rsidRDefault="004869FD" w:rsidP="001D0389">
      <w:pPr>
        <w:pStyle w:val="ListParagraph"/>
        <w:numPr>
          <w:ilvl w:val="0"/>
          <w:numId w:val="2"/>
        </w:numPr>
        <w:jc w:val="both"/>
      </w:pPr>
      <w:r w:rsidRPr="004869FD">
        <w:t>Cahill, L. (2006). Why sex matters for neuroscience. Nature reviews neuroscience, 7(6), 477-484.</w:t>
      </w:r>
    </w:p>
    <w:p w14:paraId="783F6F18" w14:textId="74B29B03" w:rsidR="00553D99" w:rsidRDefault="00553D99" w:rsidP="001D0389">
      <w:pPr>
        <w:pStyle w:val="ListParagraph"/>
        <w:numPr>
          <w:ilvl w:val="0"/>
          <w:numId w:val="2"/>
        </w:numPr>
        <w:jc w:val="both"/>
      </w:pPr>
      <w:r>
        <w:t>Callejas, Alicia, Juan Lupiánez, and Pıo Tudela. "The three attentional networks: On their independence and interactions." Brain and cognition 54.3 (2004): 225-227.</w:t>
      </w:r>
    </w:p>
    <w:p w14:paraId="117C6152" w14:textId="08A610F8" w:rsidR="003F4F39" w:rsidRDefault="003F4F39" w:rsidP="001D0389">
      <w:pPr>
        <w:pStyle w:val="ListParagraph"/>
        <w:numPr>
          <w:ilvl w:val="0"/>
          <w:numId w:val="2"/>
        </w:numPr>
        <w:jc w:val="both"/>
      </w:pPr>
      <w:r w:rsidRPr="003F4F39">
        <w:t>Capellini, R., Riva, P., Ricciardelli, P., &amp; Sacchi, S. (2019). Turning away from averted gazes: The effect of social exclusion on gaze cueing. Frontiers in Psychology, 10, 1000.</w:t>
      </w:r>
    </w:p>
    <w:p w14:paraId="36C0E8FE" w14:textId="50BEBFF9" w:rsidR="00633745" w:rsidRDefault="00633745" w:rsidP="001D0389">
      <w:pPr>
        <w:pStyle w:val="ListParagraph"/>
        <w:numPr>
          <w:ilvl w:val="0"/>
          <w:numId w:val="2"/>
        </w:numPr>
        <w:jc w:val="both"/>
      </w:pPr>
      <w:r w:rsidRPr="00633745">
        <w:t>Chen, Z., McCrackin, S. D., Morgan, A., &amp; Itier, R. J. (2021). The gaze cueing effect and its enhancement by facial expressions are impacted by task demands: Direct comparison of target localization and discrimination tasks. Frontiers in Psychology, 12, 618606.</w:t>
      </w:r>
    </w:p>
    <w:p w14:paraId="663F1FC4" w14:textId="37B03500" w:rsidR="004869FD" w:rsidRDefault="004869FD" w:rsidP="001D0389">
      <w:pPr>
        <w:pStyle w:val="ListParagraph"/>
        <w:numPr>
          <w:ilvl w:val="0"/>
          <w:numId w:val="2"/>
        </w:numPr>
        <w:jc w:val="both"/>
      </w:pPr>
      <w:r w:rsidRPr="004869FD">
        <w:t>Connellan, J., Baron-Cohen, S., Wheelwright, S., Batki, A., &amp; Ahluwalia, J. (2000). Sex differences in human neonatal social perception. Infant behavior and Development, 23(1), 113-118.</w:t>
      </w:r>
    </w:p>
    <w:p w14:paraId="3495F657" w14:textId="23802EB6" w:rsidR="00553D99" w:rsidRDefault="00553D99" w:rsidP="001D0389">
      <w:pPr>
        <w:pStyle w:val="ListParagraph"/>
        <w:numPr>
          <w:ilvl w:val="0"/>
          <w:numId w:val="2"/>
        </w:numPr>
        <w:jc w:val="both"/>
      </w:pPr>
      <w:r>
        <w:t xml:space="preserve">Dalmaso, M., Castelli, L., &amp; Galfano, G. (2020). Social modulators of gaze-mediated orienting of attention: A review. Psychonomic Bulletin &amp; Review, 27(5), 833–855. </w:t>
      </w:r>
      <w:hyperlink r:id="rId10" w:history="1">
        <w:r w:rsidR="001D0389" w:rsidRPr="00B46CCC">
          <w:rPr>
            <w:rStyle w:val="Hyperlink"/>
          </w:rPr>
          <w:t>https://doi.org/10.3758/s13423-020-01730-x</w:t>
        </w:r>
      </w:hyperlink>
    </w:p>
    <w:p w14:paraId="36A5C7BE" w14:textId="1748AF44" w:rsidR="001D0389" w:rsidRDefault="001D0389" w:rsidP="001D0389">
      <w:pPr>
        <w:pStyle w:val="ListParagraph"/>
        <w:numPr>
          <w:ilvl w:val="0"/>
          <w:numId w:val="2"/>
        </w:numPr>
        <w:jc w:val="both"/>
      </w:pPr>
      <w:r w:rsidRPr="001D0389">
        <w:lastRenderedPageBreak/>
        <w:t>Dalmaso, M., Pavan, G., Castelli, L., &amp; Galfano, G. (2011). Social status gates social attention in humans. Biology letters, 8(3), 450.</w:t>
      </w:r>
    </w:p>
    <w:p w14:paraId="58C81B33" w14:textId="082F44BD" w:rsidR="009055BE" w:rsidRDefault="009055BE" w:rsidP="001D0389">
      <w:pPr>
        <w:pStyle w:val="ListParagraph"/>
        <w:numPr>
          <w:ilvl w:val="0"/>
          <w:numId w:val="2"/>
        </w:numPr>
        <w:jc w:val="both"/>
      </w:pPr>
      <w:r w:rsidRPr="009055BE">
        <w:t>Deaner, Robert O., Stephen V. Shepherd, and Michael L. Platt. "Familiarity accentuates gaze cuing in women but not men." Biology Letters 3.1 (2006): 64.</w:t>
      </w:r>
    </w:p>
    <w:p w14:paraId="78183381" w14:textId="2C5F323F" w:rsidR="00553D99" w:rsidRDefault="00553D99" w:rsidP="001D0389">
      <w:pPr>
        <w:pStyle w:val="ListParagraph"/>
        <w:numPr>
          <w:ilvl w:val="0"/>
          <w:numId w:val="2"/>
        </w:numPr>
        <w:jc w:val="both"/>
      </w:pPr>
      <w:r>
        <w:t xml:space="preserve">Driver, J., Davis, G., Ricciardelli, P., Kidd, P., Maxwell, E., &amp; Baron-Cohen, S. (1999). Gaze perception triggers reflexive visuospatial orienting. Visual Cognition, 6(5), 509–540. </w:t>
      </w:r>
      <w:hyperlink r:id="rId11" w:history="1">
        <w:r w:rsidR="00CA2B9F" w:rsidRPr="00B46CCC">
          <w:rPr>
            <w:rStyle w:val="Hyperlink"/>
          </w:rPr>
          <w:t>https://doi.org/10.1080/135062899394920</w:t>
        </w:r>
      </w:hyperlink>
    </w:p>
    <w:p w14:paraId="1C0A5857" w14:textId="783E9795" w:rsidR="00CA2B9F" w:rsidRDefault="00CA2B9F" w:rsidP="001D0389">
      <w:pPr>
        <w:pStyle w:val="ListParagraph"/>
        <w:numPr>
          <w:ilvl w:val="0"/>
          <w:numId w:val="2"/>
        </w:numPr>
        <w:jc w:val="both"/>
      </w:pPr>
      <w:r w:rsidRPr="00CA2B9F">
        <w:t>Eastwood, J. D., Smilek, D., &amp; Merikle, P. M. (2001). Differential attentional guidance by unattended faces expressing positive and negative emotion. Perception &amp; Psychophysics, 63(6), 1004–1013.</w:t>
      </w:r>
    </w:p>
    <w:p w14:paraId="361CF54F" w14:textId="70A847EC" w:rsidR="00E74D99" w:rsidRDefault="00E74D99" w:rsidP="001D0389">
      <w:pPr>
        <w:pStyle w:val="ListParagraph"/>
        <w:numPr>
          <w:ilvl w:val="0"/>
          <w:numId w:val="2"/>
        </w:numPr>
        <w:jc w:val="both"/>
      </w:pPr>
      <w:r w:rsidRPr="00E74D99">
        <w:t>Ekman, P. (1992). Are there basic emotions?.</w:t>
      </w:r>
    </w:p>
    <w:p w14:paraId="537CDC24" w14:textId="3DA62A5F" w:rsidR="00553D99" w:rsidRDefault="00553D99" w:rsidP="001D0389">
      <w:pPr>
        <w:pStyle w:val="ListParagraph"/>
        <w:numPr>
          <w:ilvl w:val="0"/>
          <w:numId w:val="2"/>
        </w:numPr>
        <w:jc w:val="both"/>
      </w:pPr>
      <w:r>
        <w:t>Emery, N. J. (2000). The eyes have it: the neuroethology, function and evolution of social gaze. Neuroscience &amp; biobehavioral reviews, 24(6), 581-604.</w:t>
      </w:r>
    </w:p>
    <w:p w14:paraId="781629B7" w14:textId="29B43E62" w:rsidR="00553D99" w:rsidRDefault="00553D99" w:rsidP="001D0389">
      <w:pPr>
        <w:pStyle w:val="ListParagraph"/>
        <w:numPr>
          <w:ilvl w:val="0"/>
          <w:numId w:val="2"/>
        </w:numPr>
        <w:jc w:val="both"/>
      </w:pPr>
      <w:r>
        <w:t xml:space="preserve">Farroni, T., Csibra, G., Simion, F., &amp; Johnson, M. H. (2002). Eye contact detection in humans from birth. Proceedings of the National Academy of Sciences, 99(14), 9602–9605. </w:t>
      </w:r>
      <w:hyperlink r:id="rId12" w:history="1">
        <w:r w:rsidR="00CA2B9F" w:rsidRPr="00B46CCC">
          <w:rPr>
            <w:rStyle w:val="Hyperlink"/>
          </w:rPr>
          <w:t>https://doi.org/10.1073/pnas.152159999</w:t>
        </w:r>
      </w:hyperlink>
    </w:p>
    <w:p w14:paraId="0B07D007" w14:textId="153E224F" w:rsidR="001D0389" w:rsidRDefault="001D0389" w:rsidP="001D0389">
      <w:pPr>
        <w:pStyle w:val="ListParagraph"/>
        <w:numPr>
          <w:ilvl w:val="0"/>
          <w:numId w:val="2"/>
        </w:numPr>
        <w:jc w:val="both"/>
      </w:pPr>
      <w:r w:rsidRPr="001D0389">
        <w:t>Fink, B., Neave, N., &amp; Seydel, H. (2007). Male facial appearance signals physical strength to women. American Journal of Human Biology, 19(1), 82-87.</w:t>
      </w:r>
    </w:p>
    <w:p w14:paraId="7B3AB651" w14:textId="37D56B32" w:rsidR="00CA2B9F" w:rsidRDefault="00CA2B9F" w:rsidP="001D0389">
      <w:pPr>
        <w:pStyle w:val="ListParagraph"/>
        <w:numPr>
          <w:ilvl w:val="0"/>
          <w:numId w:val="2"/>
        </w:numPr>
        <w:jc w:val="both"/>
      </w:pPr>
      <w:r w:rsidRPr="00CA2B9F">
        <w:t>Fox, E., Lester, V., Russo, R., Bowles, R. J., Pichler, A., &amp; Dutton, K. (2000). Facial expressions of emotion: Are angry faces detected more efficiently? Cognition and Emotion, 14(1), 61–92.</w:t>
      </w:r>
    </w:p>
    <w:p w14:paraId="054B4D1E" w14:textId="31B3F7F2" w:rsidR="00553D99" w:rsidRDefault="00553D99" w:rsidP="001D0389">
      <w:pPr>
        <w:pStyle w:val="ListParagraph"/>
        <w:numPr>
          <w:ilvl w:val="0"/>
          <w:numId w:val="2"/>
        </w:numPr>
        <w:jc w:val="both"/>
      </w:pPr>
      <w:r w:rsidRPr="00CC3111">
        <w:rPr>
          <w:lang w:val="de-DE"/>
        </w:rPr>
        <w:t xml:space="preserve">Friesen, C. K., &amp; Kingstone, A. (1998). </w:t>
      </w:r>
      <w:r>
        <w:t>The eyes have it! Reflexive orienting is triggered by nonpredictive gaze. Psychonomic Bulletin &amp; Review, 5(3), 490–495. https://doi.org/10.3758/BF03208827</w:t>
      </w:r>
    </w:p>
    <w:p w14:paraId="34DA2049" w14:textId="1433C583" w:rsidR="00553D99" w:rsidRDefault="00553D99" w:rsidP="001D0389">
      <w:pPr>
        <w:pStyle w:val="ListParagraph"/>
        <w:numPr>
          <w:ilvl w:val="0"/>
          <w:numId w:val="2"/>
        </w:numPr>
        <w:jc w:val="both"/>
      </w:pPr>
      <w:r w:rsidRPr="00CC3111">
        <w:rPr>
          <w:lang w:val="de-DE"/>
        </w:rPr>
        <w:t xml:space="preserve">Frischen, A., Bayliss, A. P., &amp; Tipper, S. P. (2007). </w:t>
      </w:r>
      <w:r>
        <w:t>Gaze cueing of attention: Visual attention, social cognition, and individual differences. Psychological Bulletin, 133(4), 694–724. https://doi.org/10.1037/0033-2909.133.4.694</w:t>
      </w:r>
    </w:p>
    <w:p w14:paraId="2F1566B0" w14:textId="12316651" w:rsidR="00553D99" w:rsidRDefault="00553D99" w:rsidP="001D0389">
      <w:pPr>
        <w:pStyle w:val="ListParagraph"/>
        <w:numPr>
          <w:ilvl w:val="0"/>
          <w:numId w:val="2"/>
        </w:numPr>
        <w:jc w:val="both"/>
      </w:pPr>
      <w:r>
        <w:t>Galfano, G., Dalmaso, M., Marzoli, D., Pavan, G., Coricelli, C., &amp; Castelli, L. (2012). Eye gaze cannot be ignored (but neither can arrows). Quarterly Journal of Experimental Psychology, 65(10), 1895-1910.</w:t>
      </w:r>
    </w:p>
    <w:p w14:paraId="3F5EDC2A" w14:textId="5DA95F0E" w:rsidR="00D918E9" w:rsidRDefault="00D918E9" w:rsidP="001D0389">
      <w:pPr>
        <w:pStyle w:val="ListParagraph"/>
        <w:numPr>
          <w:ilvl w:val="0"/>
          <w:numId w:val="2"/>
        </w:numPr>
        <w:jc w:val="both"/>
      </w:pPr>
      <w:r w:rsidRPr="00D918E9">
        <w:t>Geary, D. C. (2006). Sex differences in social behavior and cognition: utility of sexual selection for hypothesis generation.</w:t>
      </w:r>
    </w:p>
    <w:p w14:paraId="6311436E" w14:textId="434E97CF" w:rsidR="00553D99" w:rsidRDefault="00553D99" w:rsidP="001D0389">
      <w:pPr>
        <w:pStyle w:val="ListParagraph"/>
        <w:numPr>
          <w:ilvl w:val="0"/>
          <w:numId w:val="2"/>
        </w:numPr>
        <w:jc w:val="both"/>
      </w:pPr>
      <w:r>
        <w:t>Gregory, S. E., &amp; Jackson, M. C. (2021). Increased perceptual distraction and task demand enhances gaze and non-biological cuing effects. Quarterly Journal of Experimental Psychology, 74(2), 221-240.</w:t>
      </w:r>
    </w:p>
    <w:p w14:paraId="2854B678" w14:textId="0861077F" w:rsidR="00553D99" w:rsidRDefault="00553D99" w:rsidP="001D0389">
      <w:pPr>
        <w:pStyle w:val="ListParagraph"/>
        <w:numPr>
          <w:ilvl w:val="0"/>
          <w:numId w:val="2"/>
        </w:numPr>
        <w:jc w:val="both"/>
      </w:pPr>
      <w:r>
        <w:t>Haggard, Patrick, and Manos Tsakiris. "The experience of agency: Feelings, judgments, and responsibility." Current Directions in Psychological Science 18.4 (2009): 242-246.</w:t>
      </w:r>
    </w:p>
    <w:p w14:paraId="54E8D576" w14:textId="19D68960" w:rsidR="00553D99" w:rsidRDefault="00553D99" w:rsidP="001D0389">
      <w:pPr>
        <w:pStyle w:val="ListParagraph"/>
        <w:numPr>
          <w:ilvl w:val="0"/>
          <w:numId w:val="2"/>
        </w:numPr>
        <w:jc w:val="both"/>
      </w:pPr>
      <w:r>
        <w:lastRenderedPageBreak/>
        <w:t>Haxby, J. V., Hoffman, E. A., &amp; Gobbini, M. I. (2000). The distributed human neural system for face perception. Trends in Cognitive Sciences, 4(6), 223–233. https://doi.org/10.1016/S1364-6613(00)01482-0</w:t>
      </w:r>
    </w:p>
    <w:p w14:paraId="0351EEBB" w14:textId="79BFA9F3" w:rsidR="00553D99" w:rsidRDefault="00553D99" w:rsidP="001D0389">
      <w:pPr>
        <w:pStyle w:val="ListParagraph"/>
        <w:numPr>
          <w:ilvl w:val="0"/>
          <w:numId w:val="2"/>
        </w:numPr>
        <w:jc w:val="both"/>
      </w:pPr>
      <w:r w:rsidRPr="00CC3111">
        <w:rPr>
          <w:lang w:val="de-DE"/>
        </w:rPr>
        <w:t xml:space="preserve">Hietanen, Jari K., and Jukka M. Leppänen. </w:t>
      </w:r>
      <w:r>
        <w:t>"Does facial expression affect attention orienting by gaze direction cues?." Journal of Experimental Psychology: Human Perception and Performance 29.6 (2003): 1228.</w:t>
      </w:r>
    </w:p>
    <w:p w14:paraId="79402DC2" w14:textId="39EAABAB" w:rsidR="00553D99" w:rsidRDefault="00553D99" w:rsidP="001D0389">
      <w:pPr>
        <w:pStyle w:val="ListParagraph"/>
        <w:numPr>
          <w:ilvl w:val="0"/>
          <w:numId w:val="2"/>
        </w:numPr>
        <w:jc w:val="both"/>
      </w:pPr>
      <w:r w:rsidRPr="00CC3111">
        <w:rPr>
          <w:lang w:val="de-DE"/>
        </w:rPr>
        <w:t xml:space="preserve">Hoffman, E. A., &amp; Haxby, J. V. (2000). </w:t>
      </w:r>
      <w:r>
        <w:t xml:space="preserve">Distinct representations of eye gaze and identity in the distributed human neural system for face perception. Nature Neuroscience, 3(1), 80–84. </w:t>
      </w:r>
      <w:hyperlink r:id="rId13" w:history="1">
        <w:r w:rsidR="0088198B" w:rsidRPr="00B46CCC">
          <w:rPr>
            <w:rStyle w:val="Hyperlink"/>
          </w:rPr>
          <w:t>https://doi.org/10.1038/71152</w:t>
        </w:r>
      </w:hyperlink>
    </w:p>
    <w:p w14:paraId="4AB53F18" w14:textId="6694DB11" w:rsidR="0088198B" w:rsidRDefault="0088198B" w:rsidP="001D0389">
      <w:pPr>
        <w:pStyle w:val="ListParagraph"/>
        <w:numPr>
          <w:ilvl w:val="0"/>
          <w:numId w:val="2"/>
        </w:numPr>
        <w:jc w:val="both"/>
      </w:pPr>
      <w:r w:rsidRPr="0088198B">
        <w:t>Holmes, A., Richards, A., &amp; Green, S. (2006). Anxiety and sensitivity to eye gaze in emotional faces. Brain and Cognition, 60(3), 282–294.</w:t>
      </w:r>
    </w:p>
    <w:p w14:paraId="007C9CCA" w14:textId="2C3FA449" w:rsidR="004869FD" w:rsidRDefault="004869FD" w:rsidP="001D0389">
      <w:pPr>
        <w:pStyle w:val="ListParagraph"/>
        <w:numPr>
          <w:ilvl w:val="0"/>
          <w:numId w:val="2"/>
        </w:numPr>
        <w:jc w:val="both"/>
      </w:pPr>
      <w:r w:rsidRPr="00CC3111">
        <w:rPr>
          <w:lang w:val="de-DE"/>
        </w:rPr>
        <w:t xml:space="preserve">Von Horn, A., Bäckman, L., Davidsson, T., &amp; Hansen, S. (2010). </w:t>
      </w:r>
      <w:r w:rsidRPr="004869FD">
        <w:t>Empathizing, systemizing and finger length ratio in a Swedish sample. Scandinavian Journal of Psychology, 51(1), 31-37.</w:t>
      </w:r>
    </w:p>
    <w:p w14:paraId="0749ECD7" w14:textId="08913661" w:rsidR="00CB1E70" w:rsidRDefault="00CB1E70" w:rsidP="001D0389">
      <w:pPr>
        <w:pStyle w:val="ListParagraph"/>
        <w:numPr>
          <w:ilvl w:val="0"/>
          <w:numId w:val="2"/>
        </w:numPr>
        <w:jc w:val="both"/>
      </w:pPr>
      <w:r w:rsidRPr="00CC3111">
        <w:rPr>
          <w:lang w:val="de-DE"/>
        </w:rPr>
        <w:t xml:space="preserve">Hudson, M., Burnett, H. G., &amp; Jellema, T. (2012). </w:t>
      </w:r>
      <w:r w:rsidRPr="00CB1E70">
        <w:t>Anticipation of action intentions in autism spectrum disorder. Journal of autism and developmental disorders, 42(8), 1684-1693.</w:t>
      </w:r>
    </w:p>
    <w:p w14:paraId="2E2863AA" w14:textId="2D476070" w:rsidR="00553D99" w:rsidRDefault="00553D99" w:rsidP="001D0389">
      <w:pPr>
        <w:pStyle w:val="ListParagraph"/>
        <w:numPr>
          <w:ilvl w:val="0"/>
          <w:numId w:val="2"/>
        </w:numPr>
        <w:jc w:val="both"/>
      </w:pPr>
      <w:r>
        <w:t xml:space="preserve">Johnson, M. H., Senju, A., &amp; Tomalski, P. (2015). The two-process theory of face processing: Modifications based on two decades of data from infants and adults. Neuroscience &amp; Biobehavioral Reviews, 50, 169–179. </w:t>
      </w:r>
      <w:hyperlink r:id="rId14" w:history="1">
        <w:r w:rsidR="00B85699" w:rsidRPr="00B46CCC">
          <w:rPr>
            <w:rStyle w:val="Hyperlink"/>
          </w:rPr>
          <w:t>https://doi.org/10.1016/j.neubiorev.2014.10.009</w:t>
        </w:r>
      </w:hyperlink>
    </w:p>
    <w:p w14:paraId="7E07A3B0" w14:textId="1D7CDB7F" w:rsidR="00B85699" w:rsidRDefault="00B85699" w:rsidP="001D0389">
      <w:pPr>
        <w:pStyle w:val="ListParagraph"/>
        <w:numPr>
          <w:ilvl w:val="0"/>
          <w:numId w:val="2"/>
        </w:numPr>
        <w:jc w:val="both"/>
      </w:pPr>
      <w:r w:rsidRPr="00B85699">
        <w:t>Jones, B. C., DeBruine, L. M., Main, J. C., Little, A. C., Welling, L. L., Feinberg, D. R., &amp; Tiddeman, B. P. (2009). Facial cues of dominance modulate the short-term gaze-cuing effect in human observers. Proceedings of the Royal Society B: Biological Sciences, 277(1681), 617.</w:t>
      </w:r>
    </w:p>
    <w:p w14:paraId="673972B7" w14:textId="265541AA" w:rsidR="00B85699" w:rsidRDefault="00B85699" w:rsidP="001D0389">
      <w:pPr>
        <w:pStyle w:val="ListParagraph"/>
        <w:numPr>
          <w:ilvl w:val="0"/>
          <w:numId w:val="2"/>
        </w:numPr>
        <w:jc w:val="both"/>
      </w:pPr>
      <w:r w:rsidRPr="00B85699">
        <w:t>Jones, B. C., Main, J. C., Little, A. C., &amp; DeBruine, L. M. (2011). Further evidence that facial cues of dominance modulate gaze cuing in human observers. Swiss Journal of Psychology.</w:t>
      </w:r>
    </w:p>
    <w:p w14:paraId="2AB2C083" w14:textId="3D7A7947" w:rsidR="00E74D99" w:rsidRDefault="00E74D99" w:rsidP="001D0389">
      <w:pPr>
        <w:pStyle w:val="ListParagraph"/>
        <w:numPr>
          <w:ilvl w:val="0"/>
          <w:numId w:val="2"/>
        </w:numPr>
        <w:jc w:val="both"/>
      </w:pPr>
      <w:r w:rsidRPr="00CC3111">
        <w:rPr>
          <w:lang w:val="de-DE"/>
        </w:rPr>
        <w:t xml:space="preserve">Kloth, Nadine, Carolin S. Altmann, and Stefan R. Schweinberger. </w:t>
      </w:r>
      <w:r w:rsidRPr="00E74D99">
        <w:t>"Facial attractiveness biases the perception of eye contact." Quarterly journal of experimental psychology 64.10 (2011): 1906-1918.</w:t>
      </w:r>
    </w:p>
    <w:p w14:paraId="5E8448CC" w14:textId="2C3E7186" w:rsidR="00553D99" w:rsidRDefault="00553D99" w:rsidP="001D0389">
      <w:pPr>
        <w:pStyle w:val="ListParagraph"/>
        <w:numPr>
          <w:ilvl w:val="0"/>
          <w:numId w:val="2"/>
        </w:numPr>
        <w:jc w:val="both"/>
      </w:pPr>
      <w:r>
        <w:t>Kobayashi, H., &amp; Kohshima, S. (1997). Unique morphology of the human eye. Nature, 387(6635), 767–768. https://doi.org/10.1038/42842</w:t>
      </w:r>
    </w:p>
    <w:p w14:paraId="13E9A45C" w14:textId="2BABBEEE" w:rsidR="00553D99" w:rsidRDefault="00553D99" w:rsidP="001D0389">
      <w:pPr>
        <w:pStyle w:val="ListParagraph"/>
        <w:numPr>
          <w:ilvl w:val="0"/>
          <w:numId w:val="2"/>
        </w:numPr>
        <w:jc w:val="both"/>
      </w:pPr>
      <w:r>
        <w:t>Kuhn, G., Pagano, A., Maani, S., &amp; Bunce, D. (2015). Age-related decline in the reflexive component of overt gaze following. Quarterly Journal of Experimental Psychology, 68(6), 1073-1081.</w:t>
      </w:r>
    </w:p>
    <w:p w14:paraId="055326A1" w14:textId="1F87A6A7" w:rsidR="00553D99" w:rsidRDefault="00553D99" w:rsidP="001D0389">
      <w:pPr>
        <w:pStyle w:val="ListParagraph"/>
        <w:numPr>
          <w:ilvl w:val="0"/>
          <w:numId w:val="2"/>
        </w:numPr>
        <w:jc w:val="both"/>
      </w:pPr>
      <w:r>
        <w:t>Kuhn, G., &amp; Kingstone, A. (2009). Look away! Eyes and arrows engage oculomotor responses automatically. Attention, Perception, &amp; Psychophysics, 71(2), 314-327.</w:t>
      </w:r>
    </w:p>
    <w:p w14:paraId="61FDB3B8" w14:textId="7E8E4EE2" w:rsidR="00553D99" w:rsidRDefault="00553D99" w:rsidP="001D0389">
      <w:pPr>
        <w:pStyle w:val="ListParagraph"/>
        <w:numPr>
          <w:ilvl w:val="0"/>
          <w:numId w:val="2"/>
        </w:numPr>
        <w:jc w:val="both"/>
      </w:pPr>
      <w:r w:rsidRPr="00CC3111">
        <w:rPr>
          <w:lang w:val="de-DE"/>
        </w:rPr>
        <w:lastRenderedPageBreak/>
        <w:t xml:space="preserve">Kunde, W., Skirde, S., &amp; Weigelt, M. (2011). </w:t>
      </w:r>
      <w:r>
        <w:t>Goal and head movements in soccer: The distracting effects of a goalkeeper’s gaze. Journal of Sport &amp; Exercise Psychology, 33(1), 75–97. https://doi.org/10.1123/jsep.33.1.75</w:t>
      </w:r>
    </w:p>
    <w:p w14:paraId="5CE493C0" w14:textId="0BD233F8" w:rsidR="00553D99" w:rsidRDefault="00553D99" w:rsidP="001D0389">
      <w:pPr>
        <w:pStyle w:val="ListParagraph"/>
        <w:numPr>
          <w:ilvl w:val="0"/>
          <w:numId w:val="2"/>
        </w:numPr>
        <w:jc w:val="both"/>
      </w:pPr>
      <w:r w:rsidRPr="00CC3111">
        <w:rPr>
          <w:lang w:val="de-DE"/>
        </w:rPr>
        <w:t xml:space="preserve">Langton, S. R. H., &amp; Bruce, V. (1999). </w:t>
      </w:r>
      <w:r>
        <w:t>Reflexive visual orienting in response to the social attention of others. Visual Cognition, 6(5), 541–567. https://doi.org/10.1080/135062899394939</w:t>
      </w:r>
    </w:p>
    <w:p w14:paraId="48051AE5" w14:textId="6168162B" w:rsidR="00553D99" w:rsidRDefault="00553D99" w:rsidP="001D0389">
      <w:pPr>
        <w:pStyle w:val="ListParagraph"/>
        <w:numPr>
          <w:ilvl w:val="0"/>
          <w:numId w:val="2"/>
        </w:numPr>
        <w:jc w:val="both"/>
      </w:pPr>
      <w:r w:rsidRPr="00CC3111">
        <w:rPr>
          <w:lang w:val="de-DE"/>
        </w:rPr>
        <w:t xml:space="preserve">Langton, S. R. H., Watt, R. J., &amp; Bruce, V. (2000). </w:t>
      </w:r>
      <w:r>
        <w:t xml:space="preserve">Do the eyes have it? Cues to the direction of social attention. Trends in Cognitive Sciences, 4(2), 50–59. </w:t>
      </w:r>
      <w:hyperlink r:id="rId15" w:history="1">
        <w:r w:rsidR="00CA2B9F" w:rsidRPr="00B46CCC">
          <w:rPr>
            <w:rStyle w:val="Hyperlink"/>
          </w:rPr>
          <w:t>https://doi.org/10.1016/S1364-6613(99)01436-9</w:t>
        </w:r>
      </w:hyperlink>
    </w:p>
    <w:p w14:paraId="3FA1608D" w14:textId="5725A5C5" w:rsidR="003F4F39" w:rsidRDefault="003F4F39" w:rsidP="001D0389">
      <w:pPr>
        <w:pStyle w:val="ListParagraph"/>
        <w:numPr>
          <w:ilvl w:val="0"/>
          <w:numId w:val="2"/>
        </w:numPr>
        <w:jc w:val="both"/>
      </w:pPr>
      <w:r w:rsidRPr="003F4F39">
        <w:t>Liuzza, M. T., Cazzato, V., Vecchione, M., Crostella, F., Caprara, G. V., &amp; Aglioti, S. M. (2011). Follow my eyes: the gaze of politicians reflexively captures the gaze of ingroup voters. PloS one, 6(9), e25117.</w:t>
      </w:r>
    </w:p>
    <w:p w14:paraId="06541D81" w14:textId="687DA00A" w:rsidR="004869FD" w:rsidRDefault="004869FD" w:rsidP="001D0389">
      <w:pPr>
        <w:pStyle w:val="ListParagraph"/>
        <w:numPr>
          <w:ilvl w:val="0"/>
          <w:numId w:val="2"/>
        </w:numPr>
        <w:jc w:val="both"/>
      </w:pPr>
      <w:r w:rsidRPr="004869FD">
        <w:t>Lutchmaya, S., &amp; Baron-Cohen, S. (2002). Human sex differences in social and non-social looking preferences, at 12 months of age. Infant Behavior and Development, 25(3), 319-325.</w:t>
      </w:r>
    </w:p>
    <w:p w14:paraId="13D21F78" w14:textId="13FC5B39" w:rsidR="004869FD" w:rsidRDefault="004869FD" w:rsidP="001D0389">
      <w:pPr>
        <w:pStyle w:val="ListParagraph"/>
        <w:numPr>
          <w:ilvl w:val="0"/>
          <w:numId w:val="2"/>
        </w:numPr>
        <w:jc w:val="both"/>
      </w:pPr>
      <w:r w:rsidRPr="004869FD">
        <w:t>Manning, J. T., Baron-Cohen, S., Wheelwright, S., &amp; Sanders, G. (2001). The 2nd to 4th digit ratio and autism. Developmental medicine and child neurology, 43(3), 160-164.</w:t>
      </w:r>
    </w:p>
    <w:p w14:paraId="49C592FB" w14:textId="4776E2DD" w:rsidR="00CA2B9F" w:rsidRDefault="00CA2B9F" w:rsidP="001D0389">
      <w:pPr>
        <w:pStyle w:val="ListParagraph"/>
        <w:numPr>
          <w:ilvl w:val="0"/>
          <w:numId w:val="2"/>
        </w:numPr>
        <w:jc w:val="both"/>
      </w:pPr>
      <w:r w:rsidRPr="00CA2B9F">
        <w:t>Mathews, A., Fox, E., Yiend, J., &amp; Calder, A. (2003). The face of fear: Effects of eye gaze and emotion on visual attention. Visual Cognition, 10(7), 823–835.</w:t>
      </w:r>
    </w:p>
    <w:p w14:paraId="06E59D7C" w14:textId="29F9E012" w:rsidR="00553D99" w:rsidRDefault="00553D99" w:rsidP="001D0389">
      <w:pPr>
        <w:pStyle w:val="ListParagraph"/>
        <w:numPr>
          <w:ilvl w:val="0"/>
          <w:numId w:val="2"/>
        </w:numPr>
        <w:jc w:val="both"/>
      </w:pPr>
      <w:r>
        <w:t>McKay, K. T., Grainger, S. A., Coundouris, S. P., Skorich, D. P., Phillips, L. H., &amp; Henry, J. D. (2021). Visual attentional orienting by eye gaze: A meta-analytic review of the gaze-cueing effect. Psychological Bulletin, 147(12), 1269–1289. https://doi.org/10.1037/bul0000353</w:t>
      </w:r>
    </w:p>
    <w:p w14:paraId="31D74CCE" w14:textId="1B2B100D" w:rsidR="00553D99" w:rsidRDefault="00553D99" w:rsidP="001D0389">
      <w:pPr>
        <w:pStyle w:val="ListParagraph"/>
        <w:numPr>
          <w:ilvl w:val="0"/>
          <w:numId w:val="2"/>
        </w:numPr>
        <w:jc w:val="both"/>
      </w:pPr>
      <w:r w:rsidRPr="00CC3111">
        <w:rPr>
          <w:lang w:val="de-DE"/>
        </w:rPr>
        <w:t xml:space="preserve">Meyer, J., Smeeton, N. J., Fasold, F., Schütz, C., &amp; Klatt, S. (2022). </w:t>
      </w:r>
      <w:r>
        <w:t xml:space="preserve">The deceptive intensity of the goalkeeper’s gaze? Effects of direct and averted gaze on penalty kick performance. Psychology of Sport and Exercise, 60, 102161. </w:t>
      </w:r>
      <w:hyperlink r:id="rId16" w:history="1">
        <w:r w:rsidR="00CA2B9F" w:rsidRPr="00B46CCC">
          <w:rPr>
            <w:rStyle w:val="Hyperlink"/>
          </w:rPr>
          <w:t>https://doi.org/10.1016/j.psychsport.2022.102161</w:t>
        </w:r>
      </w:hyperlink>
    </w:p>
    <w:p w14:paraId="2D62F1C5" w14:textId="667835F6" w:rsidR="00CA2B9F" w:rsidRDefault="00CA2B9F" w:rsidP="001D0389">
      <w:pPr>
        <w:pStyle w:val="ListParagraph"/>
        <w:numPr>
          <w:ilvl w:val="0"/>
          <w:numId w:val="2"/>
        </w:numPr>
        <w:jc w:val="both"/>
      </w:pPr>
      <w:r w:rsidRPr="00CA2B9F">
        <w:t>Mogg, K., &amp; Bradley, B. P. (1999). Orienting of attention to threatening facial expressions presented under conditions of restricted awareness. Cognition &amp; Emotion, 13(6), 713-740.</w:t>
      </w:r>
    </w:p>
    <w:p w14:paraId="2BAA3B80" w14:textId="479A6BA3" w:rsidR="00553D99" w:rsidRDefault="00553D99" w:rsidP="001D0389">
      <w:pPr>
        <w:pStyle w:val="ListParagraph"/>
        <w:numPr>
          <w:ilvl w:val="0"/>
          <w:numId w:val="2"/>
        </w:numPr>
        <w:jc w:val="both"/>
      </w:pPr>
      <w:r>
        <w:t>Moore, C., &amp; Dunham, P. J. (Eds.). (1995). Joint attention: Its origins and role in development. Lawrence Erlbaum Associates.</w:t>
      </w:r>
    </w:p>
    <w:p w14:paraId="3CB96DF9" w14:textId="5BC212CA" w:rsidR="00553D99" w:rsidRDefault="00553D99" w:rsidP="001D0389">
      <w:pPr>
        <w:pStyle w:val="ListParagraph"/>
        <w:numPr>
          <w:ilvl w:val="0"/>
          <w:numId w:val="2"/>
        </w:numPr>
        <w:jc w:val="both"/>
      </w:pPr>
      <w:r w:rsidRPr="00CC3111">
        <w:rPr>
          <w:lang w:val="de-DE"/>
        </w:rPr>
        <w:t xml:space="preserve">Müller, H. J., &amp; Rabbitt, P. M. (1989). </w:t>
      </w:r>
      <w:r>
        <w:t>Reflexive and voluntary orienting of visual attention: time course of activation and resistance to interruption. Journal of Experimental psychology: Human perception and performance, 15(2), 315.</w:t>
      </w:r>
    </w:p>
    <w:p w14:paraId="171A75BF" w14:textId="0012939D" w:rsidR="00CA2B9F" w:rsidRDefault="00CA2B9F" w:rsidP="001D0389">
      <w:pPr>
        <w:pStyle w:val="ListParagraph"/>
        <w:numPr>
          <w:ilvl w:val="0"/>
          <w:numId w:val="2"/>
        </w:numPr>
        <w:jc w:val="both"/>
      </w:pPr>
      <w:r w:rsidRPr="00CA2B9F">
        <w:t>Öhman, A., Lundqvist, D., &amp; Esteves, F. (2001). The face in the crowd revisited: A threat advantage with schematic stimuli. Journal of Personality and Social Psychology, 80(3), 381–396.</w:t>
      </w:r>
    </w:p>
    <w:p w14:paraId="191F533F" w14:textId="68881ABD" w:rsidR="003F4F39" w:rsidRDefault="003F4F39" w:rsidP="001D0389">
      <w:pPr>
        <w:pStyle w:val="ListParagraph"/>
        <w:numPr>
          <w:ilvl w:val="0"/>
          <w:numId w:val="2"/>
        </w:numPr>
        <w:jc w:val="both"/>
      </w:pPr>
      <w:r w:rsidRPr="003F4F39">
        <w:t>Pavan, G., Dalmaso, M., Galfano, G., &amp; Castelli, L. (2011). Racial group membership is associated to gaze-mediated orienting in Italy. PLoS One, 6(10), e25608.</w:t>
      </w:r>
    </w:p>
    <w:p w14:paraId="30BCC672" w14:textId="69FFFDDC" w:rsidR="00553D99" w:rsidRDefault="00553D99" w:rsidP="001D0389">
      <w:pPr>
        <w:pStyle w:val="ListParagraph"/>
        <w:numPr>
          <w:ilvl w:val="0"/>
          <w:numId w:val="2"/>
        </w:numPr>
        <w:jc w:val="both"/>
      </w:pPr>
      <w:r>
        <w:lastRenderedPageBreak/>
        <w:t>Pelphrey, K. A., Singerman, J. D., Allison, T., &amp; McCarthy, G. (2003). Brain activation evoked by perception of gaze shifts: the influence of context. Neuropsychologia, 41(2), 156–170.</w:t>
      </w:r>
    </w:p>
    <w:p w14:paraId="21543361" w14:textId="6D8C087E" w:rsidR="001D0389" w:rsidRDefault="001D0389" w:rsidP="001D0389">
      <w:pPr>
        <w:pStyle w:val="ListParagraph"/>
        <w:numPr>
          <w:ilvl w:val="0"/>
          <w:numId w:val="2"/>
        </w:numPr>
        <w:jc w:val="both"/>
      </w:pPr>
      <w:r w:rsidRPr="001D0389">
        <w:t>Perrett, D. I., Lee, K. J., Penton-Voak, I., Rowland, D., Yoshikawa, S., Burt, D. M., ... &amp; Akamatsu, S. (1998). Effects of sexual dimorphism on facial attractiveness. Nature, 394(6696), 884-887.</w:t>
      </w:r>
    </w:p>
    <w:p w14:paraId="5515C6D9" w14:textId="03728E71" w:rsidR="00553D99" w:rsidRDefault="00553D99" w:rsidP="001D0389">
      <w:pPr>
        <w:pStyle w:val="ListParagraph"/>
        <w:numPr>
          <w:ilvl w:val="0"/>
          <w:numId w:val="2"/>
        </w:numPr>
        <w:jc w:val="both"/>
      </w:pPr>
      <w:r>
        <w:t>Perrett, D. I., Harries, M. H., Mistlin, A. J., Hietanen, J. K., Benson, P. J., Bevan, R., Thomas, S., Oram, M. W., Ortega, J., &amp; Brierley, K. (1990). Social signals analyzed at the single cell level: Someone is looking at me, something moved! International Journal of Comparative Psychology, 4(1), 25–55.</w:t>
      </w:r>
    </w:p>
    <w:p w14:paraId="3F7A5EF4" w14:textId="2705A873" w:rsidR="00553D99" w:rsidRDefault="00553D99" w:rsidP="001D0389">
      <w:pPr>
        <w:pStyle w:val="ListParagraph"/>
        <w:numPr>
          <w:ilvl w:val="0"/>
          <w:numId w:val="2"/>
        </w:numPr>
        <w:jc w:val="both"/>
      </w:pPr>
      <w:r w:rsidRPr="00CC3111">
        <w:rPr>
          <w:lang w:val="de-DE"/>
        </w:rPr>
        <w:t xml:space="preserve">Pfeiffer, U. J., Vogeley, K., &amp; Schilbach, L. (2013). </w:t>
      </w:r>
      <w:r>
        <w:t xml:space="preserve">From gaze cueing to dual eye-tracking: Novel approaches to investigate the neural correlates of gaze in social interaction. Neuroscience &amp; Biobehavioral Reviews, 37(10), 2516–2528. </w:t>
      </w:r>
      <w:hyperlink r:id="rId17" w:history="1">
        <w:r w:rsidR="003F4F39" w:rsidRPr="00B46CCC">
          <w:rPr>
            <w:rStyle w:val="Hyperlink"/>
          </w:rPr>
          <w:t>https://doi.org/10.1016/j.neubiorev.2013.07.017</w:t>
        </w:r>
      </w:hyperlink>
    </w:p>
    <w:p w14:paraId="613B8075" w14:textId="49EFB63E" w:rsidR="003F4F39" w:rsidRDefault="003F4F39" w:rsidP="001D0389">
      <w:pPr>
        <w:pStyle w:val="ListParagraph"/>
        <w:numPr>
          <w:ilvl w:val="0"/>
          <w:numId w:val="2"/>
        </w:numPr>
        <w:jc w:val="both"/>
      </w:pPr>
      <w:r w:rsidRPr="003F4F39">
        <w:t>Ponari, M., Trojano, L., Grossi, D., &amp; Conson, M. (2013). “Avoiding or approaching eyes”? Introversion/extraversion affects the gaze-cueing effect. Cognitive processing, 14(3), 293-299.</w:t>
      </w:r>
    </w:p>
    <w:p w14:paraId="5499949A" w14:textId="6FEEB1D8" w:rsidR="00553D99" w:rsidRDefault="00553D99" w:rsidP="001D0389">
      <w:pPr>
        <w:pStyle w:val="ListParagraph"/>
        <w:numPr>
          <w:ilvl w:val="0"/>
          <w:numId w:val="2"/>
        </w:numPr>
        <w:jc w:val="both"/>
      </w:pPr>
      <w:r>
        <w:t xml:space="preserve">Posner, M. I. (1980). Orienting of attention. Quarterly Journal of Experimental Psychology, 32(1), 3–25. </w:t>
      </w:r>
      <w:hyperlink r:id="rId18" w:history="1">
        <w:r w:rsidR="00D918E9" w:rsidRPr="00B46CCC">
          <w:rPr>
            <w:rStyle w:val="Hyperlink"/>
          </w:rPr>
          <w:t>https://doi.org/10.1080/00335558008248231</w:t>
        </w:r>
      </w:hyperlink>
    </w:p>
    <w:p w14:paraId="1F43E447" w14:textId="43573E76" w:rsidR="00D918E9" w:rsidRDefault="00D918E9" w:rsidP="001D0389">
      <w:pPr>
        <w:pStyle w:val="ListParagraph"/>
        <w:numPr>
          <w:ilvl w:val="0"/>
          <w:numId w:val="2"/>
        </w:numPr>
        <w:jc w:val="both"/>
      </w:pPr>
      <w:r w:rsidRPr="00D918E9">
        <w:t>Proverbio, A. M., Zani, A., &amp; Adorni, R. (2008). Neural markers of a greater female responsiveness to social stimuli. BMC neuroscience, 9(1), 56.</w:t>
      </w:r>
    </w:p>
    <w:p w14:paraId="22E6A93F" w14:textId="0C11988B" w:rsidR="00553D99" w:rsidRDefault="00553D99" w:rsidP="001D0389">
      <w:pPr>
        <w:pStyle w:val="ListParagraph"/>
        <w:numPr>
          <w:ilvl w:val="0"/>
          <w:numId w:val="2"/>
        </w:numPr>
        <w:jc w:val="both"/>
      </w:pPr>
      <w:r>
        <w:t>Puce, A., &amp; Perrett, D. (2013). Electrophysiology and brain imaging of biological motion. Social Neuroscience, 115-129.</w:t>
      </w:r>
    </w:p>
    <w:p w14:paraId="0686D40B" w14:textId="3BCCAC90" w:rsidR="001D0389" w:rsidRDefault="001D0389" w:rsidP="001D0389">
      <w:pPr>
        <w:pStyle w:val="ListParagraph"/>
        <w:numPr>
          <w:ilvl w:val="0"/>
          <w:numId w:val="2"/>
        </w:numPr>
        <w:jc w:val="both"/>
      </w:pPr>
      <w:r w:rsidRPr="001D0389">
        <w:t>Quist, M. C., Watkins, C. D., Smith, F. G., DeBruine, L. M., &amp; Jones, B. C. (2011). Facial masculinity is a cue to women’s dominance. Personality and Individual Differences, 50(7), 1089-1093.</w:t>
      </w:r>
    </w:p>
    <w:p w14:paraId="05F78C70" w14:textId="182AB2E5" w:rsidR="00553D99" w:rsidRDefault="00553D99" w:rsidP="001D0389">
      <w:pPr>
        <w:pStyle w:val="ListParagraph"/>
        <w:numPr>
          <w:ilvl w:val="0"/>
          <w:numId w:val="2"/>
        </w:numPr>
        <w:jc w:val="both"/>
      </w:pPr>
      <w:r>
        <w:t>Reid, V. M., &amp; Striano, T. (2005). Adult gaze influences infant attention and object processing: Implications for cognitive neuroscience. European Journal of Neuroscience, 21(6), 1763-1766.</w:t>
      </w:r>
    </w:p>
    <w:p w14:paraId="7593386E" w14:textId="5DA9CC7C" w:rsidR="00CB1E70" w:rsidRDefault="00CB1E70" w:rsidP="001D0389">
      <w:pPr>
        <w:pStyle w:val="ListParagraph"/>
        <w:numPr>
          <w:ilvl w:val="0"/>
          <w:numId w:val="2"/>
        </w:numPr>
        <w:jc w:val="both"/>
      </w:pPr>
      <w:r w:rsidRPr="00CB1E70">
        <w:t>Riby, D. M., Hancock, P. J., Jones, N., &amp; Hanley, M. (2013). Spontaneous and cued gaze-following in autism and Williams syndrome. Journal of neurodevelopmental disorders, 5(1), 13.</w:t>
      </w:r>
    </w:p>
    <w:p w14:paraId="4D249097" w14:textId="38E3C9D5" w:rsidR="00E74D99" w:rsidRDefault="00E74D99" w:rsidP="001D0389">
      <w:pPr>
        <w:pStyle w:val="ListParagraph"/>
        <w:numPr>
          <w:ilvl w:val="0"/>
          <w:numId w:val="2"/>
        </w:numPr>
        <w:jc w:val="both"/>
      </w:pPr>
      <w:r w:rsidRPr="00E74D99">
        <w:t>Roth, Tom S., et al. "Attractiveness modulates attention, but does not enhance gaze cueing." Evolutionary Behavioral Sciences 16.4 (2022): 343.</w:t>
      </w:r>
    </w:p>
    <w:p w14:paraId="517AFEF2" w14:textId="40F3830D" w:rsidR="003F7305" w:rsidRDefault="003F7305" w:rsidP="001D0389">
      <w:pPr>
        <w:pStyle w:val="ListParagraph"/>
        <w:numPr>
          <w:ilvl w:val="0"/>
          <w:numId w:val="2"/>
        </w:numPr>
        <w:jc w:val="both"/>
      </w:pPr>
      <w:r w:rsidRPr="003F7305">
        <w:t>Salthouse, T. A. (1996). The processing-speed theory of adult age differences in cognition. Psychological review, 103(3), 403.</w:t>
      </w:r>
    </w:p>
    <w:p w14:paraId="04D36129" w14:textId="2C791A26" w:rsidR="00553D99" w:rsidRDefault="00553D99" w:rsidP="001D0389">
      <w:pPr>
        <w:pStyle w:val="ListParagraph"/>
        <w:numPr>
          <w:ilvl w:val="0"/>
          <w:numId w:val="2"/>
        </w:numPr>
        <w:jc w:val="both"/>
      </w:pPr>
      <w:r>
        <w:t>Sato, W., Okada, T., &amp; Toichi, M. (2007). Attentional shift by gaze is triggered without awareness. Experimental brain research, 183(1), 87-94.</w:t>
      </w:r>
    </w:p>
    <w:p w14:paraId="3C430569" w14:textId="0BF4BE46" w:rsidR="00553D99" w:rsidRDefault="00553D99" w:rsidP="001D0389">
      <w:pPr>
        <w:pStyle w:val="ListParagraph"/>
        <w:numPr>
          <w:ilvl w:val="0"/>
          <w:numId w:val="2"/>
        </w:numPr>
        <w:jc w:val="both"/>
      </w:pPr>
      <w:r>
        <w:lastRenderedPageBreak/>
        <w:t xml:space="preserve">Schilbach, L. (2015). Eye to eye, face to face and brain to brain: novel approaches to study the behavioral dynamics and neural mechanisms of social interactions. Current Opinion in Behavioral Sciences, 3, 130-135. </w:t>
      </w:r>
    </w:p>
    <w:p w14:paraId="72336ABA" w14:textId="352562F3" w:rsidR="00553D99" w:rsidRDefault="00553D99" w:rsidP="001D0389">
      <w:pPr>
        <w:pStyle w:val="ListParagraph"/>
        <w:numPr>
          <w:ilvl w:val="0"/>
          <w:numId w:val="2"/>
        </w:numPr>
        <w:jc w:val="both"/>
      </w:pPr>
      <w:r w:rsidRPr="00CC3111">
        <w:rPr>
          <w:lang w:val="de-DE"/>
        </w:rPr>
        <w:t xml:space="preserve">Schilbach, L., Eickhoff, S. B., Cieslik, E. C., Kuzmanovic, B., &amp; Vogeley, K. (2012). </w:t>
      </w:r>
      <w:r>
        <w:t>Shall we do this together? Social gaze influences action control in a comparison group, but not in individuals with high-functioning autism. Autism, 16(2), 151–162. https://doi.org/10.1177/1362361311409250</w:t>
      </w:r>
    </w:p>
    <w:p w14:paraId="39925CC1" w14:textId="4FDB181F" w:rsidR="00553D99" w:rsidRDefault="00553D99" w:rsidP="001D0389">
      <w:pPr>
        <w:pStyle w:val="ListParagraph"/>
        <w:numPr>
          <w:ilvl w:val="0"/>
          <w:numId w:val="2"/>
        </w:numPr>
        <w:jc w:val="both"/>
      </w:pPr>
      <w:r>
        <w:t>Schilbach, L. (2016). Towards a second-person neuropsychiatry. Philosophical Transactions of the Royal Society B: Biological Sciences, 371(1686), 20150081. https://doi.org/10.1098/rstb.2015.0081</w:t>
      </w:r>
    </w:p>
    <w:p w14:paraId="3EFD2344" w14:textId="6ECF46E7" w:rsidR="00553D99" w:rsidRDefault="00553D99" w:rsidP="001D0389">
      <w:pPr>
        <w:pStyle w:val="ListParagraph"/>
        <w:numPr>
          <w:ilvl w:val="0"/>
          <w:numId w:val="2"/>
        </w:numPr>
        <w:jc w:val="both"/>
      </w:pPr>
      <w:r w:rsidRPr="00CC3111">
        <w:rPr>
          <w:lang w:val="de-DE"/>
        </w:rPr>
        <w:t xml:space="preserve">Schilbach, L., Timmermans, B., Reddy, V., Costall, A., Bente, G., Schlicht, T., &amp; Vogeley, K. (2013). </w:t>
      </w:r>
      <w:r>
        <w:t>Toward a second-person neuroscience. Behavioral and Brain Sciences, 36(4), 393–414. https://doi.org/10.1017/S0140525X12000660</w:t>
      </w:r>
    </w:p>
    <w:p w14:paraId="103EC8AA" w14:textId="689A7034" w:rsidR="00553D99" w:rsidRDefault="00553D99" w:rsidP="001D0389">
      <w:pPr>
        <w:pStyle w:val="ListParagraph"/>
        <w:numPr>
          <w:ilvl w:val="0"/>
          <w:numId w:val="2"/>
        </w:numPr>
        <w:jc w:val="both"/>
      </w:pPr>
      <w:r>
        <w:t>Senju, A., &amp; Johnson, M. H. (2009). Atypical eye contact in autism: Models, mechanisms and development. Neuroscience &amp; Biobehavioral Reviews, 33(8), 1204–1214. https://doi.org/10.1016/j.neubiorev.2009.03.001</w:t>
      </w:r>
    </w:p>
    <w:p w14:paraId="53A4D6E2" w14:textId="18E6C2ED" w:rsidR="00553D99" w:rsidRDefault="00553D99" w:rsidP="001D0389">
      <w:pPr>
        <w:pStyle w:val="ListParagraph"/>
        <w:numPr>
          <w:ilvl w:val="0"/>
          <w:numId w:val="2"/>
        </w:numPr>
        <w:jc w:val="both"/>
      </w:pPr>
      <w:r>
        <w:t>Shepherd, S. V., Deaner, R. O., &amp; Platt, M. L. (2006). Social status gates social attention in monkeys. Current Biology, 16(3), R119–R120. https://doi.org/10.1016/j.cub.2006.02.013</w:t>
      </w:r>
    </w:p>
    <w:p w14:paraId="75D46D9F" w14:textId="50103D55" w:rsidR="00553D99" w:rsidRDefault="00553D99" w:rsidP="001D0389">
      <w:pPr>
        <w:pStyle w:val="ListParagraph"/>
        <w:numPr>
          <w:ilvl w:val="0"/>
          <w:numId w:val="2"/>
        </w:numPr>
        <w:jc w:val="both"/>
      </w:pPr>
      <w:r>
        <w:t>Slessor, Gillian, et al. "Age-related differences in gaze following: Does the age of the face matter?." Journals of Gerontology Series B: Psychological Sciences and Social Sciences 65.5 (2010): 536-541.</w:t>
      </w:r>
    </w:p>
    <w:p w14:paraId="376A76A3" w14:textId="7FD4AA39" w:rsidR="009055BE" w:rsidRDefault="009055BE" w:rsidP="001D0389">
      <w:pPr>
        <w:pStyle w:val="ListParagraph"/>
        <w:numPr>
          <w:ilvl w:val="0"/>
          <w:numId w:val="2"/>
        </w:numPr>
        <w:jc w:val="both"/>
      </w:pPr>
      <w:r w:rsidRPr="009055BE">
        <w:t>Strachan, James WA, et al. "Incidental learning of trust from eye-gaze: Effects of race and facial trustworthiness." Visual Cognition 25.7-8 (2017): 802-814.</w:t>
      </w:r>
    </w:p>
    <w:p w14:paraId="592DC7AB" w14:textId="7DEE562A" w:rsidR="004869FD" w:rsidRDefault="004869FD" w:rsidP="001D0389">
      <w:pPr>
        <w:pStyle w:val="ListParagraph"/>
        <w:numPr>
          <w:ilvl w:val="0"/>
          <w:numId w:val="2"/>
        </w:numPr>
        <w:jc w:val="both"/>
      </w:pPr>
      <w:r w:rsidRPr="004869FD">
        <w:t>Swaab, D. F. (2007). Sexual differentiation of the brain and behavior. Best practice &amp; research clinical endocrinology &amp; metabolism, 21(3), 431-444.</w:t>
      </w:r>
    </w:p>
    <w:p w14:paraId="20F96230" w14:textId="521B6747" w:rsidR="009055BE" w:rsidRDefault="009055BE" w:rsidP="001D0389">
      <w:pPr>
        <w:pStyle w:val="ListParagraph"/>
        <w:numPr>
          <w:ilvl w:val="0"/>
          <w:numId w:val="2"/>
        </w:numPr>
        <w:jc w:val="both"/>
      </w:pPr>
      <w:r w:rsidRPr="009055BE">
        <w:t>Sy, Jocelyn L., and Barry Giesbrecht. "Who's looking at you? Gender and familiarity modulate gaze cueing." Journal of Vision 7.9 (2007): 15-15.</w:t>
      </w:r>
    </w:p>
    <w:p w14:paraId="146DC6FB" w14:textId="593B0E66" w:rsidR="003F7305" w:rsidRDefault="003F7305" w:rsidP="001D0389">
      <w:pPr>
        <w:pStyle w:val="ListParagraph"/>
        <w:numPr>
          <w:ilvl w:val="0"/>
          <w:numId w:val="2"/>
        </w:numPr>
        <w:jc w:val="both"/>
      </w:pPr>
      <w:r w:rsidRPr="003F7305">
        <w:t>Talipski, L. A., Bell, E., Goodhew, S. C., Dawel, A., &amp; Edwards, M. (2021). Examining the effects of social anxiety and other individual differences on gaze-directed attentional shifts. Quarterly journal of experimental psychology, 74(4), 771-785.</w:t>
      </w:r>
    </w:p>
    <w:p w14:paraId="6E683FE1" w14:textId="30B1B400" w:rsidR="001D0389" w:rsidRDefault="001D0389" w:rsidP="001D0389">
      <w:pPr>
        <w:pStyle w:val="ListParagraph"/>
        <w:numPr>
          <w:ilvl w:val="0"/>
          <w:numId w:val="2"/>
        </w:numPr>
        <w:jc w:val="both"/>
      </w:pPr>
      <w:r w:rsidRPr="001D0389">
        <w:t>Tiddeman, B., Burt, M., &amp; Perrett, D. (2001). Prototyping and transforming facial textures for perception research. IEEE computer graphics and applications, 21(5), 42-50.</w:t>
      </w:r>
    </w:p>
    <w:p w14:paraId="11608936" w14:textId="41C4EF76" w:rsidR="0088198B" w:rsidRDefault="0088198B" w:rsidP="001D0389">
      <w:pPr>
        <w:pStyle w:val="ListParagraph"/>
        <w:numPr>
          <w:ilvl w:val="0"/>
          <w:numId w:val="2"/>
        </w:numPr>
        <w:jc w:val="both"/>
      </w:pPr>
      <w:r w:rsidRPr="0088198B">
        <w:t>Tipples, J. (2006). Fear and fearfulness potentiate automatic orienting to eye gaze. Cognition and Emotion, 20(2), 309–320.</w:t>
      </w:r>
    </w:p>
    <w:p w14:paraId="717E5E93" w14:textId="7918DFC0" w:rsidR="00553D99" w:rsidRDefault="00553D99" w:rsidP="001D0389">
      <w:pPr>
        <w:pStyle w:val="ListParagraph"/>
        <w:numPr>
          <w:ilvl w:val="0"/>
          <w:numId w:val="2"/>
        </w:numPr>
        <w:jc w:val="both"/>
      </w:pPr>
      <w:r>
        <w:t>Tipples, J. (2008). Orienting to counterpredictive gaze and arrow cues. Perception &amp; psychophysics, 70(1), 77-87.</w:t>
      </w:r>
    </w:p>
    <w:p w14:paraId="17FF2A50" w14:textId="179369EA" w:rsidR="00553D99" w:rsidRDefault="00553D99" w:rsidP="001D0389">
      <w:pPr>
        <w:pStyle w:val="ListParagraph"/>
        <w:numPr>
          <w:ilvl w:val="0"/>
          <w:numId w:val="2"/>
        </w:numPr>
        <w:jc w:val="both"/>
      </w:pPr>
      <w:r>
        <w:lastRenderedPageBreak/>
        <w:t>Tomasello, M. (1995). Joint attention as social cognition. In C. Moore &amp; P. J. Dunham (Eds.), Joint attention: Its origins and role in development (pp. 103–130). Lawrence Erlbaum Associates.</w:t>
      </w:r>
    </w:p>
    <w:p w14:paraId="3306EABF" w14:textId="09B7F0EB" w:rsidR="00553D99" w:rsidRDefault="00553D99" w:rsidP="001D0389">
      <w:pPr>
        <w:pStyle w:val="ListParagraph"/>
        <w:numPr>
          <w:ilvl w:val="0"/>
          <w:numId w:val="2"/>
        </w:numPr>
        <w:jc w:val="both"/>
      </w:pPr>
      <w:r>
        <w:t xml:space="preserve">Tomasello, M., Carpenter, M., Call, J., Behne, T., &amp; Moll, H. (2005). Understanding and sharing intentions: The origins of cultural cognition. Behavioral and Brain Sciences, 28(5), 675–691. </w:t>
      </w:r>
      <w:hyperlink r:id="rId19" w:history="1">
        <w:r w:rsidR="001D0389" w:rsidRPr="00B46CCC">
          <w:rPr>
            <w:rStyle w:val="Hyperlink"/>
          </w:rPr>
          <w:t>https://doi.org/10.1017/S0140525X05000129</w:t>
        </w:r>
      </w:hyperlink>
    </w:p>
    <w:p w14:paraId="111C0B69" w14:textId="691902EC" w:rsidR="001D0389" w:rsidRDefault="001D0389" w:rsidP="001D0389">
      <w:pPr>
        <w:pStyle w:val="ListParagraph"/>
        <w:numPr>
          <w:ilvl w:val="0"/>
          <w:numId w:val="2"/>
        </w:numPr>
        <w:jc w:val="both"/>
      </w:pPr>
      <w:r w:rsidRPr="001D0389">
        <w:t>Watkins, Christopher D., Benedict C. Jones, and Lisa M. DeBruine. "Individual differences in dominance perception: Dominant men are less sensitive to facial cues of male dominance." Personality and Individual Differences 49.8 (2010): 967-971.</w:t>
      </w:r>
    </w:p>
    <w:p w14:paraId="4CA97C20" w14:textId="77777777" w:rsidR="003B61B2" w:rsidRDefault="003B61B2" w:rsidP="001D0389">
      <w:pPr>
        <w:jc w:val="both"/>
      </w:pPr>
    </w:p>
    <w:sectPr w:rsidR="003B61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loyan Zdravkov" w:date="2026-09-01T01:43:00Z" w:initials="KZ">
    <w:p w14:paraId="1CEFA72C" w14:textId="605718CB" w:rsidR="00CC3111" w:rsidRDefault="00CC3111">
      <w:pPr>
        <w:pStyle w:val="CommentText"/>
      </w:pPr>
      <w:r>
        <w:rPr>
          <w:rStyle w:val="CommentReference"/>
        </w:rPr>
        <w:annotationRef/>
      </w:r>
      <w:r>
        <w:t>fix</w:t>
      </w:r>
    </w:p>
  </w:comment>
  <w:comment w:id="2" w:author="Kaloyan Zdravkov" w:date="2026-09-01T01:45:00Z" w:initials="KZ">
    <w:p w14:paraId="085F1D5C" w14:textId="43F5FE54" w:rsidR="00CC3111" w:rsidRDefault="00CC3111">
      <w:pPr>
        <w:pStyle w:val="CommentText"/>
      </w:pPr>
      <w:r>
        <w:rPr>
          <w:rStyle w:val="CommentReference"/>
        </w:rPr>
        <w:annotationRef/>
      </w:r>
    </w:p>
  </w:comment>
  <w:comment w:id="3" w:author="Kaloyan Zdravkov" w:date="2026-09-01T01:46:00Z" w:initials="KZ">
    <w:p w14:paraId="66C4C5A9" w14:textId="25DFD192" w:rsidR="00CC3111" w:rsidRDefault="00CC3111">
      <w:pPr>
        <w:pStyle w:val="CommentText"/>
      </w:pPr>
      <w:r>
        <w:rPr>
          <w:rStyle w:val="CommentReference"/>
        </w:rPr>
        <w:annotationRef/>
      </w:r>
    </w:p>
  </w:comment>
  <w:comment w:id="1" w:author="Kaloyan Zdravkov" w:date="2026-09-01T13:24:00Z" w:initials="KZ">
    <w:p w14:paraId="5E38E5C5" w14:textId="38457A60" w:rsidR="00CE0399" w:rsidRDefault="00CE0399">
      <w:pPr>
        <w:pStyle w:val="CommentText"/>
      </w:pPr>
      <w:r>
        <w:rPr>
          <w:rStyle w:val="CommentReference"/>
        </w:rPr>
        <w:annotationRef/>
      </w:r>
      <w:r>
        <w:t xml:space="preserve">not structured well – to be rewritten </w:t>
      </w:r>
    </w:p>
  </w:comment>
  <w:comment w:id="4" w:author="Kaloyan Zdravkov" w:date="2026-09-01T13:33:00Z" w:initials="KZ">
    <w:p w14:paraId="5C74819A" w14:textId="61AA6A2B" w:rsidR="00CE0399" w:rsidRDefault="00CE0399">
      <w:pPr>
        <w:pStyle w:val="CommentText"/>
      </w:pPr>
      <w:r>
        <w:rPr>
          <w:rStyle w:val="CommentReference"/>
        </w:rPr>
        <w:annotationRef/>
      </w:r>
      <w:r>
        <w:t>should go after the GCP is explained</w:t>
      </w:r>
    </w:p>
  </w:comment>
  <w:comment w:id="5" w:author="Kaloyan Zdravkov" w:date="2026-09-01T13:37:00Z" w:initials="KZ">
    <w:p w14:paraId="61B7E822" w14:textId="08660F4A" w:rsidR="00CE0399" w:rsidRDefault="00CE0399">
      <w:pPr>
        <w:pStyle w:val="CommentText"/>
      </w:pPr>
      <w:r>
        <w:rPr>
          <w:rStyle w:val="CommentReference"/>
        </w:rPr>
        <w:annotationRef/>
      </w:r>
      <w:r>
        <w:t xml:space="preserve">double check that </w:t>
      </w:r>
    </w:p>
  </w:comment>
  <w:comment w:id="6" w:author="Kaloyan Zdravkov" w:date="2026-09-01T13:39:00Z" w:initials="KZ">
    <w:p w14:paraId="4E6547B3" w14:textId="3B7C86B9" w:rsidR="00CE0399" w:rsidRDefault="00CE0399">
      <w:pPr>
        <w:pStyle w:val="CommentText"/>
      </w:pPr>
      <w:r>
        <w:rPr>
          <w:rStyle w:val="CommentReference"/>
        </w:rPr>
        <w:annotationRef/>
      </w:r>
      <w:r>
        <w:t>double check</w:t>
      </w:r>
    </w:p>
  </w:comment>
  <w:comment w:id="7" w:author="Kaloyan Zdravkov" w:date="2026-09-01T13:41:00Z" w:initials="KZ">
    <w:p w14:paraId="58525561" w14:textId="5E2F286E" w:rsidR="00B956AC" w:rsidRDefault="00B956AC">
      <w:pPr>
        <w:pStyle w:val="CommentText"/>
      </w:pPr>
      <w:r>
        <w:rPr>
          <w:rStyle w:val="CommentReference"/>
        </w:rPr>
        <w:annotationRef/>
      </w:r>
      <w:r>
        <w:t>double check</w:t>
      </w:r>
    </w:p>
  </w:comment>
  <w:comment w:id="8" w:author="Kaloyan Zdravkov" w:date="2026-09-01T13:43:00Z" w:initials="KZ">
    <w:p w14:paraId="522EEC7C" w14:textId="0666B239" w:rsidR="00B956AC" w:rsidRDefault="00B956AC">
      <w:pPr>
        <w:pStyle w:val="CommentText"/>
      </w:pPr>
      <w:r>
        <w:rPr>
          <w:rStyle w:val="CommentReference"/>
        </w:rPr>
        <w:annotationRef/>
      </w:r>
      <w:r>
        <w:t>this should be analyzed in my experimental context</w:t>
      </w:r>
    </w:p>
  </w:comment>
  <w:comment w:id="9" w:author="Kaloyan Zdravkov" w:date="2026-09-01T13:54:00Z" w:initials="KZ">
    <w:p w14:paraId="1DC9DC80" w14:textId="6B6234DC" w:rsidR="00B956AC" w:rsidRDefault="00B956AC">
      <w:pPr>
        <w:pStyle w:val="CommentText"/>
      </w:pPr>
      <w:r>
        <w:rPr>
          <w:rStyle w:val="CommentReference"/>
        </w:rPr>
        <w:annotationRef/>
      </w:r>
      <w:r>
        <w:t>nice</w:t>
      </w:r>
    </w:p>
  </w:comment>
  <w:comment w:id="10" w:author="Kaloyan Zdravkov" w:date="2026-09-01T13:54:00Z" w:initials="KZ">
    <w:p w14:paraId="50FCC842" w14:textId="22AE8FA8" w:rsidR="00B956AC" w:rsidRDefault="00B956AC">
      <w:pPr>
        <w:pStyle w:val="CommentText"/>
      </w:pPr>
      <w:r>
        <w:rPr>
          <w:rStyle w:val="CommentReference"/>
        </w:rPr>
        <w:annotationRef/>
      </w:r>
      <w:r>
        <w:t xml:space="preserve">maybe different intro sentence. </w:t>
      </w:r>
    </w:p>
  </w:comment>
  <w:comment w:id="11" w:author="Kaloyan Zdravkov" w:date="2026-09-01T13:53:00Z" w:initials="KZ">
    <w:p w14:paraId="2CCFE21D" w14:textId="4C360F7B" w:rsidR="00B956AC" w:rsidRDefault="00B956AC">
      <w:pPr>
        <w:pStyle w:val="CommentText"/>
      </w:pPr>
      <w:r>
        <w:rPr>
          <w:rStyle w:val="CommentReference"/>
        </w:rPr>
        <w:annotationRef/>
      </w:r>
      <w:r>
        <w:t xml:space="preserve">nice to be used in my interpretations </w:t>
      </w:r>
    </w:p>
  </w:comment>
  <w:comment w:id="12" w:author="Kaloyan Zdravkov" w:date="2026-09-01T14:02:00Z" w:initials="KZ">
    <w:p w14:paraId="3192CE43" w14:textId="131F4C0C" w:rsidR="00B956AC" w:rsidRDefault="00B956AC">
      <w:pPr>
        <w:pStyle w:val="CommentText"/>
      </w:pPr>
      <w:r>
        <w:rPr>
          <w:rStyle w:val="CommentReference"/>
        </w:rPr>
        <w:annotationRef/>
      </w:r>
      <w:r>
        <w:t xml:space="preserve">already said. Maybe can be deleted. </w:t>
      </w:r>
    </w:p>
  </w:comment>
  <w:comment w:id="13" w:author="Kaloyan Zdravkov" w:date="2026-09-01T14:07:00Z" w:initials="KZ">
    <w:p w14:paraId="6FB518B3" w14:textId="7526C780" w:rsidR="00B956AC" w:rsidRDefault="00B956AC">
      <w:pPr>
        <w:pStyle w:val="CommentText"/>
      </w:pPr>
      <w:r>
        <w:rPr>
          <w:rStyle w:val="CommentReference"/>
        </w:rPr>
        <w:annotationRef/>
      </w:r>
      <w:r>
        <w:t xml:space="preserve">Should go to the emotions section. </w:t>
      </w:r>
    </w:p>
  </w:comment>
  <w:comment w:id="14" w:author="Kaloyan Zdravkov" w:date="2026-09-01T14:10:00Z" w:initials="KZ">
    <w:p w14:paraId="737CDE17" w14:textId="4D80E59C" w:rsidR="00D5051A" w:rsidRDefault="00D5051A">
      <w:pPr>
        <w:pStyle w:val="CommentText"/>
      </w:pPr>
      <w:r>
        <w:rPr>
          <w:rStyle w:val="CommentReference"/>
        </w:rPr>
        <w:annotationRef/>
      </w:r>
      <w:r>
        <w:t xml:space="preserve">Nice intro sentence BUT – not the right place and no need to declare the last paragraph so hardly. Basically everything about the modulator up until now can be shortened. </w:t>
      </w:r>
    </w:p>
  </w:comment>
  <w:comment w:id="15" w:author="Kaloyan Zdravkov" w:date="2026-09-01T14:14:00Z" w:initials="KZ">
    <w:p w14:paraId="64F56644" w14:textId="73FB1A56" w:rsidR="00D5051A" w:rsidRDefault="00D5051A">
      <w:pPr>
        <w:pStyle w:val="CommentText"/>
      </w:pPr>
      <w:r>
        <w:rPr>
          <w:rStyle w:val="CommentReference"/>
        </w:rPr>
        <w:annotationRef/>
      </w:r>
      <w:r>
        <w:t xml:space="preserve">Not done so far, but can be added in follow-up paper. </w:t>
      </w:r>
    </w:p>
  </w:comment>
  <w:comment w:id="16" w:author="Kaloyan Zdravkov" w:date="2026-09-01T14:16:00Z" w:initials="KZ">
    <w:p w14:paraId="032E56DF" w14:textId="5ACA60CA" w:rsidR="00D5051A" w:rsidRDefault="00D5051A">
      <w:pPr>
        <w:pStyle w:val="CommentText"/>
      </w:pPr>
      <w:r>
        <w:rPr>
          <w:rStyle w:val="CommentReference"/>
        </w:rPr>
        <w:annotationRef/>
      </w:r>
      <w:r>
        <w:t>Chech again if should the WHOLE stay.</w:t>
      </w:r>
    </w:p>
  </w:comment>
  <w:comment w:id="17" w:author="Kaloyan Zdravkov" w:date="2026-09-01T14:19:00Z" w:initials="KZ">
    <w:p w14:paraId="3B953C43" w14:textId="79D47012" w:rsidR="00410497" w:rsidRDefault="00410497">
      <w:pPr>
        <w:pStyle w:val="CommentText"/>
      </w:pPr>
      <w:r>
        <w:rPr>
          <w:rStyle w:val="CommentReference"/>
        </w:rPr>
        <w:annotationRef/>
      </w:r>
      <w:r>
        <w:t>To be merged with the prev paragraph</w:t>
      </w:r>
    </w:p>
  </w:comment>
  <w:comment w:id="18" w:author="Kaloyan Zdravkov" w:date="2026-09-01T14:23:00Z" w:initials="KZ">
    <w:p w14:paraId="65DC4FB5" w14:textId="2FD10B34" w:rsidR="00410497" w:rsidRDefault="00410497">
      <w:pPr>
        <w:pStyle w:val="CommentText"/>
      </w:pPr>
      <w:r>
        <w:rPr>
          <w:rStyle w:val="CommentReference"/>
        </w:rPr>
        <w:annotationRef/>
      </w:r>
      <w:r>
        <w:t>nice</w:t>
      </w:r>
    </w:p>
  </w:comment>
  <w:comment w:id="19" w:author="Kaloyan Zdravkov" w:date="2026-09-01T14:25:00Z" w:initials="KZ">
    <w:p w14:paraId="01A791C0" w14:textId="7E2ECC95" w:rsidR="00410497" w:rsidRDefault="00410497">
      <w:pPr>
        <w:pStyle w:val="CommentText"/>
      </w:pPr>
      <w:r>
        <w:rPr>
          <w:rStyle w:val="CommentReference"/>
        </w:rPr>
        <w:annotationRef/>
      </w:r>
      <w:r>
        <w:t xml:space="preserve">total contradiction with the beginning … </w:t>
      </w:r>
    </w:p>
  </w:comment>
  <w:comment w:id="20" w:author="Kaloyan Zdravkov" w:date="2026-09-01T14:27:00Z" w:initials="KZ">
    <w:p w14:paraId="646B6E3B" w14:textId="01C30142" w:rsidR="00410497" w:rsidRDefault="00410497">
      <w:pPr>
        <w:pStyle w:val="CommentText"/>
      </w:pPr>
      <w:r>
        <w:rPr>
          <w:rStyle w:val="CommentReference"/>
        </w:rPr>
        <w:annotationRef/>
      </w:r>
      <w:r>
        <w:t>duplicated from the beginning.</w:t>
      </w:r>
    </w:p>
  </w:comment>
  <w:comment w:id="21" w:author="Kaloyan Zdravkov" w:date="2026-09-01T14:28:00Z" w:initials="KZ">
    <w:p w14:paraId="3113F0EF" w14:textId="35429F60" w:rsidR="00410497" w:rsidRDefault="00410497">
      <w:pPr>
        <w:pStyle w:val="CommentText"/>
      </w:pPr>
      <w:r>
        <w:rPr>
          <w:rStyle w:val="CommentReference"/>
        </w:rPr>
        <w:annotationRef/>
      </w:r>
      <w:r>
        <w:t xml:space="preserve">The summary from previous version I liked better. In </w:t>
      </w:r>
      <w:r w:rsidR="00CE0180">
        <w:t>general,</w:t>
      </w:r>
      <w:r>
        <w:t xml:space="preserve"> the intro here is not well organized and I can use some of my old intros. The TOM – still not described properly. Some parts of </w:t>
      </w:r>
      <w:r w:rsidR="00CE0180">
        <w:t>t</w:t>
      </w:r>
      <w:r>
        <w:t xml:space="preserve">he intro are repeated again at the end. Better reorganization – to have better broader intro. </w:t>
      </w:r>
      <w:r w:rsidR="00CE0180">
        <w:t xml:space="preserve">Then the part that are duplicated to be moved at the end – they sound more like a part of the rationale. TOM and JA should be included somewhere in this section. The last part about the modulators should be shortened.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EFA72C" w15:done="0"/>
  <w15:commentEx w15:paraId="085F1D5C" w15:done="0"/>
  <w15:commentEx w15:paraId="66C4C5A9" w15:done="0"/>
  <w15:commentEx w15:paraId="5E38E5C5" w15:done="0"/>
  <w15:commentEx w15:paraId="5C74819A" w15:done="0"/>
  <w15:commentEx w15:paraId="61B7E822" w15:done="0"/>
  <w15:commentEx w15:paraId="4E6547B3" w15:done="0"/>
  <w15:commentEx w15:paraId="58525561" w15:done="0"/>
  <w15:commentEx w15:paraId="522EEC7C" w15:done="0"/>
  <w15:commentEx w15:paraId="1DC9DC80" w15:done="0"/>
  <w15:commentEx w15:paraId="50FCC842" w15:done="0"/>
  <w15:commentEx w15:paraId="2CCFE21D" w15:done="0"/>
  <w15:commentEx w15:paraId="3192CE43" w15:done="0"/>
  <w15:commentEx w15:paraId="6FB518B3" w15:done="0"/>
  <w15:commentEx w15:paraId="737CDE17" w15:done="0"/>
  <w15:commentEx w15:paraId="64F56644" w15:done="0"/>
  <w15:commentEx w15:paraId="032E56DF" w15:done="0"/>
  <w15:commentEx w15:paraId="3B953C43" w15:done="0"/>
  <w15:commentEx w15:paraId="65DC4FB5" w15:done="0"/>
  <w15:commentEx w15:paraId="01A791C0" w15:done="0"/>
  <w15:commentEx w15:paraId="646B6E3B" w15:done="0"/>
  <w15:commentEx w15:paraId="3113F0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AE4DC9" w16cex:dateUtc="2026-08-31T22:43:00Z"/>
  <w16cex:commentExtensible w16cex:durableId="5D349C2C" w16cex:dateUtc="2026-08-31T22:45:00Z"/>
  <w16cex:commentExtensible w16cex:durableId="01ACA820" w16cex:dateUtc="2026-08-31T22:46:00Z"/>
  <w16cex:commentExtensible w16cex:durableId="0A3DB0D2" w16cex:dateUtc="2026-09-01T10:24:00Z"/>
  <w16cex:commentExtensible w16cex:durableId="1B22A77A" w16cex:dateUtc="2026-09-01T10:33:00Z"/>
  <w16cex:commentExtensible w16cex:durableId="583A478C" w16cex:dateUtc="2026-09-01T10:37:00Z"/>
  <w16cex:commentExtensible w16cex:durableId="4681E6FF" w16cex:dateUtc="2026-09-01T10:39:00Z"/>
  <w16cex:commentExtensible w16cex:durableId="38252120" w16cex:dateUtc="2026-09-01T10:41:00Z"/>
  <w16cex:commentExtensible w16cex:durableId="7A457725" w16cex:dateUtc="2026-09-01T10:43:00Z"/>
  <w16cex:commentExtensible w16cex:durableId="2FC3ACBB" w16cex:dateUtc="2026-09-01T10:54:00Z"/>
  <w16cex:commentExtensible w16cex:durableId="1053E38A" w16cex:dateUtc="2026-09-01T10:54:00Z"/>
  <w16cex:commentExtensible w16cex:durableId="21484434" w16cex:dateUtc="2026-09-01T10:53:00Z"/>
  <w16cex:commentExtensible w16cex:durableId="2A70E1BC" w16cex:dateUtc="2026-09-01T11:02:00Z"/>
  <w16cex:commentExtensible w16cex:durableId="04429918" w16cex:dateUtc="2026-09-01T11:07:00Z"/>
  <w16cex:commentExtensible w16cex:durableId="19B30D0E" w16cex:dateUtc="2026-09-01T11:10:00Z"/>
  <w16cex:commentExtensible w16cex:durableId="4C15D161" w16cex:dateUtc="2026-09-01T11:14:00Z"/>
  <w16cex:commentExtensible w16cex:durableId="63E4486D" w16cex:dateUtc="2026-09-01T11:16:00Z"/>
  <w16cex:commentExtensible w16cex:durableId="7F052402" w16cex:dateUtc="2026-09-01T11:19:00Z"/>
  <w16cex:commentExtensible w16cex:durableId="0BC74E10" w16cex:dateUtc="2026-09-01T11:23:00Z"/>
  <w16cex:commentExtensible w16cex:durableId="073FE9BE" w16cex:dateUtc="2026-09-01T11:25:00Z"/>
  <w16cex:commentExtensible w16cex:durableId="1B0287E2" w16cex:dateUtc="2026-09-01T11:27:00Z"/>
  <w16cex:commentExtensible w16cex:durableId="666E6BBF" w16cex:dateUtc="2026-09-01T1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EFA72C" w16cid:durableId="69AE4DC9"/>
  <w16cid:commentId w16cid:paraId="085F1D5C" w16cid:durableId="5D349C2C"/>
  <w16cid:commentId w16cid:paraId="66C4C5A9" w16cid:durableId="01ACA820"/>
  <w16cid:commentId w16cid:paraId="5E38E5C5" w16cid:durableId="0A3DB0D2"/>
  <w16cid:commentId w16cid:paraId="5C74819A" w16cid:durableId="1B22A77A"/>
  <w16cid:commentId w16cid:paraId="61B7E822" w16cid:durableId="583A478C"/>
  <w16cid:commentId w16cid:paraId="4E6547B3" w16cid:durableId="4681E6FF"/>
  <w16cid:commentId w16cid:paraId="58525561" w16cid:durableId="38252120"/>
  <w16cid:commentId w16cid:paraId="522EEC7C" w16cid:durableId="7A457725"/>
  <w16cid:commentId w16cid:paraId="1DC9DC80" w16cid:durableId="2FC3ACBB"/>
  <w16cid:commentId w16cid:paraId="50FCC842" w16cid:durableId="1053E38A"/>
  <w16cid:commentId w16cid:paraId="2CCFE21D" w16cid:durableId="21484434"/>
  <w16cid:commentId w16cid:paraId="3192CE43" w16cid:durableId="2A70E1BC"/>
  <w16cid:commentId w16cid:paraId="6FB518B3" w16cid:durableId="04429918"/>
  <w16cid:commentId w16cid:paraId="737CDE17" w16cid:durableId="19B30D0E"/>
  <w16cid:commentId w16cid:paraId="64F56644" w16cid:durableId="4C15D161"/>
  <w16cid:commentId w16cid:paraId="032E56DF" w16cid:durableId="63E4486D"/>
  <w16cid:commentId w16cid:paraId="3B953C43" w16cid:durableId="7F052402"/>
  <w16cid:commentId w16cid:paraId="65DC4FB5" w16cid:durableId="0BC74E10"/>
  <w16cid:commentId w16cid:paraId="01A791C0" w16cid:durableId="073FE9BE"/>
  <w16cid:commentId w16cid:paraId="646B6E3B" w16cid:durableId="1B0287E2"/>
  <w16cid:commentId w16cid:paraId="3113F0EF" w16cid:durableId="666E6B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C2918"/>
    <w:multiLevelType w:val="multilevel"/>
    <w:tmpl w:val="4EC8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CC5382"/>
    <w:multiLevelType w:val="hybridMultilevel"/>
    <w:tmpl w:val="A6741A90"/>
    <w:lvl w:ilvl="0" w:tplc="BB041D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5B0F67"/>
    <w:multiLevelType w:val="hybridMultilevel"/>
    <w:tmpl w:val="1F0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6147543">
    <w:abstractNumId w:val="0"/>
  </w:num>
  <w:num w:numId="2" w16cid:durableId="1532916032">
    <w:abstractNumId w:val="2"/>
  </w:num>
  <w:num w:numId="3" w16cid:durableId="20510270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yan Zdravkov">
    <w15:presenceInfo w15:providerId="Windows Live" w15:userId="445d42b3a0f17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A3"/>
    <w:rsid w:val="00085B01"/>
    <w:rsid w:val="000B63A3"/>
    <w:rsid w:val="000D4023"/>
    <w:rsid w:val="00104816"/>
    <w:rsid w:val="001D0389"/>
    <w:rsid w:val="00250023"/>
    <w:rsid w:val="00292E17"/>
    <w:rsid w:val="0036492D"/>
    <w:rsid w:val="003A2F57"/>
    <w:rsid w:val="003B5C8E"/>
    <w:rsid w:val="003B61B2"/>
    <w:rsid w:val="003F4F39"/>
    <w:rsid w:val="003F7305"/>
    <w:rsid w:val="00410497"/>
    <w:rsid w:val="004808EC"/>
    <w:rsid w:val="004869FD"/>
    <w:rsid w:val="005028C0"/>
    <w:rsid w:val="0053585A"/>
    <w:rsid w:val="00553D99"/>
    <w:rsid w:val="00591063"/>
    <w:rsid w:val="00633745"/>
    <w:rsid w:val="00657121"/>
    <w:rsid w:val="0065748D"/>
    <w:rsid w:val="00670E22"/>
    <w:rsid w:val="00680962"/>
    <w:rsid w:val="00695C79"/>
    <w:rsid w:val="006A07BB"/>
    <w:rsid w:val="007157EB"/>
    <w:rsid w:val="00787D8A"/>
    <w:rsid w:val="00794A9E"/>
    <w:rsid w:val="0088198B"/>
    <w:rsid w:val="0088599B"/>
    <w:rsid w:val="008E4CB1"/>
    <w:rsid w:val="009055BE"/>
    <w:rsid w:val="009275D8"/>
    <w:rsid w:val="009B59AD"/>
    <w:rsid w:val="009E429B"/>
    <w:rsid w:val="00A96DAF"/>
    <w:rsid w:val="00AF4995"/>
    <w:rsid w:val="00B85699"/>
    <w:rsid w:val="00B956AC"/>
    <w:rsid w:val="00C4339B"/>
    <w:rsid w:val="00CA2B9F"/>
    <w:rsid w:val="00CB1E70"/>
    <w:rsid w:val="00CC3111"/>
    <w:rsid w:val="00CE0180"/>
    <w:rsid w:val="00CE0399"/>
    <w:rsid w:val="00CF34D3"/>
    <w:rsid w:val="00D46652"/>
    <w:rsid w:val="00D5051A"/>
    <w:rsid w:val="00D77F1E"/>
    <w:rsid w:val="00D918E9"/>
    <w:rsid w:val="00E02BA3"/>
    <w:rsid w:val="00E74D99"/>
    <w:rsid w:val="00F2340E"/>
    <w:rsid w:val="00FA4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B229"/>
  <w15:chartTrackingRefBased/>
  <w15:docId w15:val="{72FB7A42-3BC6-4D62-86E0-4D735021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3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3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3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3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3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3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3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3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3A3"/>
    <w:rPr>
      <w:rFonts w:eastAsiaTheme="majorEastAsia" w:cstheme="majorBidi"/>
      <w:color w:val="272727" w:themeColor="text1" w:themeTint="D8"/>
    </w:rPr>
  </w:style>
  <w:style w:type="paragraph" w:styleId="Title">
    <w:name w:val="Title"/>
    <w:basedOn w:val="Normal"/>
    <w:next w:val="Normal"/>
    <w:link w:val="TitleChar"/>
    <w:uiPriority w:val="10"/>
    <w:qFormat/>
    <w:rsid w:val="000B6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3A3"/>
    <w:pPr>
      <w:spacing w:before="160"/>
      <w:jc w:val="center"/>
    </w:pPr>
    <w:rPr>
      <w:i/>
      <w:iCs/>
      <w:color w:val="404040" w:themeColor="text1" w:themeTint="BF"/>
    </w:rPr>
  </w:style>
  <w:style w:type="character" w:customStyle="1" w:styleId="QuoteChar">
    <w:name w:val="Quote Char"/>
    <w:basedOn w:val="DefaultParagraphFont"/>
    <w:link w:val="Quote"/>
    <w:uiPriority w:val="29"/>
    <w:rsid w:val="000B63A3"/>
    <w:rPr>
      <w:i/>
      <w:iCs/>
      <w:color w:val="404040" w:themeColor="text1" w:themeTint="BF"/>
    </w:rPr>
  </w:style>
  <w:style w:type="paragraph" w:styleId="ListParagraph">
    <w:name w:val="List Paragraph"/>
    <w:basedOn w:val="Normal"/>
    <w:uiPriority w:val="34"/>
    <w:qFormat/>
    <w:rsid w:val="000B63A3"/>
    <w:pPr>
      <w:ind w:left="720"/>
      <w:contextualSpacing/>
    </w:pPr>
  </w:style>
  <w:style w:type="character" w:styleId="IntenseEmphasis">
    <w:name w:val="Intense Emphasis"/>
    <w:basedOn w:val="DefaultParagraphFont"/>
    <w:uiPriority w:val="21"/>
    <w:qFormat/>
    <w:rsid w:val="000B63A3"/>
    <w:rPr>
      <w:i/>
      <w:iCs/>
      <w:color w:val="2F5496" w:themeColor="accent1" w:themeShade="BF"/>
    </w:rPr>
  </w:style>
  <w:style w:type="paragraph" w:styleId="IntenseQuote">
    <w:name w:val="Intense Quote"/>
    <w:basedOn w:val="Normal"/>
    <w:next w:val="Normal"/>
    <w:link w:val="IntenseQuoteChar"/>
    <w:uiPriority w:val="30"/>
    <w:qFormat/>
    <w:rsid w:val="000B6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3A3"/>
    <w:rPr>
      <w:i/>
      <w:iCs/>
      <w:color w:val="2F5496" w:themeColor="accent1" w:themeShade="BF"/>
    </w:rPr>
  </w:style>
  <w:style w:type="character" w:styleId="IntenseReference">
    <w:name w:val="Intense Reference"/>
    <w:basedOn w:val="DefaultParagraphFont"/>
    <w:uiPriority w:val="32"/>
    <w:qFormat/>
    <w:rsid w:val="000B63A3"/>
    <w:rPr>
      <w:b/>
      <w:bCs/>
      <w:smallCaps/>
      <w:color w:val="2F5496" w:themeColor="accent1" w:themeShade="BF"/>
      <w:spacing w:val="5"/>
    </w:rPr>
  </w:style>
  <w:style w:type="character" w:styleId="Hyperlink">
    <w:name w:val="Hyperlink"/>
    <w:basedOn w:val="DefaultParagraphFont"/>
    <w:uiPriority w:val="99"/>
    <w:unhideWhenUsed/>
    <w:rsid w:val="000D4023"/>
    <w:rPr>
      <w:color w:val="0563C1" w:themeColor="hyperlink"/>
      <w:u w:val="single"/>
    </w:rPr>
  </w:style>
  <w:style w:type="character" w:styleId="UnresolvedMention">
    <w:name w:val="Unresolved Mention"/>
    <w:basedOn w:val="DefaultParagraphFont"/>
    <w:uiPriority w:val="99"/>
    <w:semiHidden/>
    <w:unhideWhenUsed/>
    <w:rsid w:val="000D4023"/>
    <w:rPr>
      <w:color w:val="605E5C"/>
      <w:shd w:val="clear" w:color="auto" w:fill="E1DFDD"/>
    </w:rPr>
  </w:style>
  <w:style w:type="character" w:styleId="CommentReference">
    <w:name w:val="annotation reference"/>
    <w:basedOn w:val="DefaultParagraphFont"/>
    <w:uiPriority w:val="99"/>
    <w:semiHidden/>
    <w:unhideWhenUsed/>
    <w:rsid w:val="00CC3111"/>
    <w:rPr>
      <w:sz w:val="16"/>
      <w:szCs w:val="16"/>
    </w:rPr>
  </w:style>
  <w:style w:type="paragraph" w:styleId="CommentText">
    <w:name w:val="annotation text"/>
    <w:basedOn w:val="Normal"/>
    <w:link w:val="CommentTextChar"/>
    <w:uiPriority w:val="99"/>
    <w:semiHidden/>
    <w:unhideWhenUsed/>
    <w:rsid w:val="00CC3111"/>
    <w:pPr>
      <w:spacing w:line="240" w:lineRule="auto"/>
    </w:pPr>
    <w:rPr>
      <w:sz w:val="20"/>
      <w:szCs w:val="20"/>
    </w:rPr>
  </w:style>
  <w:style w:type="character" w:customStyle="1" w:styleId="CommentTextChar">
    <w:name w:val="Comment Text Char"/>
    <w:basedOn w:val="DefaultParagraphFont"/>
    <w:link w:val="CommentText"/>
    <w:uiPriority w:val="99"/>
    <w:semiHidden/>
    <w:rsid w:val="00CC3111"/>
    <w:rPr>
      <w:sz w:val="20"/>
      <w:szCs w:val="20"/>
    </w:rPr>
  </w:style>
  <w:style w:type="paragraph" w:styleId="CommentSubject">
    <w:name w:val="annotation subject"/>
    <w:basedOn w:val="CommentText"/>
    <w:next w:val="CommentText"/>
    <w:link w:val="CommentSubjectChar"/>
    <w:uiPriority w:val="99"/>
    <w:semiHidden/>
    <w:unhideWhenUsed/>
    <w:rsid w:val="00CC3111"/>
    <w:rPr>
      <w:b/>
      <w:bCs/>
    </w:rPr>
  </w:style>
  <w:style w:type="character" w:customStyle="1" w:styleId="CommentSubjectChar">
    <w:name w:val="Comment Subject Char"/>
    <w:basedOn w:val="CommentTextChar"/>
    <w:link w:val="CommentSubject"/>
    <w:uiPriority w:val="99"/>
    <w:semiHidden/>
    <w:rsid w:val="00CC31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oi.org/10.1038/71152" TargetMode="External"/><Relationship Id="rId18" Type="http://schemas.openxmlformats.org/officeDocument/2006/relationships/hyperlink" Target="https://doi.org/10.1080/00335558008248231" TargetMode="External"/><Relationship Id="rId3" Type="http://schemas.openxmlformats.org/officeDocument/2006/relationships/styles" Target="style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hyperlink" Target="https://doi.org/10.1073/pnas.152159999" TargetMode="External"/><Relationship Id="rId17" Type="http://schemas.openxmlformats.org/officeDocument/2006/relationships/hyperlink" Target="https://doi.org/10.1016/j.neubiorev.2013.07.017" TargetMode="External"/><Relationship Id="rId2" Type="http://schemas.openxmlformats.org/officeDocument/2006/relationships/numbering" Target="numbering.xml"/><Relationship Id="rId16" Type="http://schemas.openxmlformats.org/officeDocument/2006/relationships/hyperlink" Target="https://doi.org/10.1016/j.psychsport.2022.10216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080/135062899394920" TargetMode="External"/><Relationship Id="rId5" Type="http://schemas.openxmlformats.org/officeDocument/2006/relationships/webSettings" Target="webSettings.xml"/><Relationship Id="rId15" Type="http://schemas.openxmlformats.org/officeDocument/2006/relationships/hyperlink" Target="https://doi.org/10.1016/S1364-6613(99)01436-9" TargetMode="External"/><Relationship Id="rId10" Type="http://schemas.openxmlformats.org/officeDocument/2006/relationships/hyperlink" Target="https://doi.org/10.3758/s13423-020-01730-x" TargetMode="External"/><Relationship Id="rId19" Type="http://schemas.openxmlformats.org/officeDocument/2006/relationships/hyperlink" Target="https://doi.org/10.1017/S0140525X05000129"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16/j.neubiorev.2014.10.00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2EDE7-B6C7-48B8-B67D-A613F8D12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1489</TotalTime>
  <Pages>1</Pages>
  <Words>9875</Words>
  <Characters>56291</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Horea Rusu</dc:creator>
  <cp:keywords/>
  <dc:description/>
  <cp:lastModifiedBy>Kaloyan Zdravkov</cp:lastModifiedBy>
  <cp:revision>16</cp:revision>
  <dcterms:created xsi:type="dcterms:W3CDTF">2026-08-28T07:13:00Z</dcterms:created>
  <dcterms:modified xsi:type="dcterms:W3CDTF">2026-09-01T11:47:00Z</dcterms:modified>
</cp:coreProperties>
</file>