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Narrow-bold.ttf" ContentType="application/x-font-ttf"/>
  <Override PartName="/word/fonts/ArialNarrow-boldItalic.ttf" ContentType="application/x-font-ttf"/>
  <Override PartName="/word/fonts/ArialNarrow-italic.ttf" ContentType="application/x-font-ttf"/>
  <Override PartName="/word/fonts/ArialNarrow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Campus Guard Incident &amp; Violation Logging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0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Campus Guard Incident Reporting (FR-01)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Campus Security Guard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Mobile Web Application / Guard Portal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Security guard is authenticated on Guard Portal; student ID or QR code is available.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Record student violation report, select offense category (Minor/Major), attach violation details, and submit.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514190759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Open LUMI → select Guardian Registration → enter required information → submit registration → enter email OTP → accept Terms and Privacy Policy → verify access to guardian features.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Guard can input student ID/number or scan code to retrieve student profile.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Operation completed successfully and verified in database.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Violation entry form accepts offense category, date, location, and detailed description.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Operation completed successfully and verified in database.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validates required fields and submits the violation incident log.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Operation completed successfully and verified in database.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Recorded incident is logged with status 'Pending SDO Review' in database.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Success confirmation modal is displayed to the guard upon successful submission.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Incident Evidence &amp; Photo Attachment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Incident Evidence &amp; Photo Attachment (FR-02)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Campus Security Guard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Mobile Web Application / Guard Portal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Guard is filling out a violation report on the Guard Portal; camera or file storage access is granted.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Capture or upload photo evidence of the student infraction and attach it to the report.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790259731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Log in as Guardian → select Add/Create Child → enter required child information → save profile → verify child appears in Guardian Dashboard.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080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Guard can capture photo using device camera or pick file from image library.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Uploaded image is previewed before submitting the incident report.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Evidence image is stored in uploads/evidence/ directory with secure filename.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Image metadata (timestamp, file path) is linked to the student_violation record.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SDO Admin can view the attached photo evidence when reviewing the pending incident.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A8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SDO Admin Review Queue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SDO Admin Guard Report Review (FR-03)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Student Discipline Office (SDO) Admin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Web Application (Admin Portal)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SDO Admin is authenticated; pending guard incident logs exist in the review queue.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C4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Review submitted guard incident reports, inspect evidence photos, and approve or dismiss the report.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CA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CB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292624694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Select child → open calibration → position child approximately 30 cm from device → initiate calibration → save result → start monitoring.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D0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0D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D4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D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SDO Admin dashboard displays pending guard-submitted violation logs in the queue.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C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Admin can click a report to view complete details, student history, and attached photo evidence.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Admin can approve the report to formally record the student infraction.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Admin can dismiss/reject invalid reports with required administrative reason.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E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Approved violations automatically update student offense counts and trigger appropriate warnings.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F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F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Progressive Minor Offense Warning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0F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FE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FF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Minor Offense Registration &amp; Guardian Alert (FR-04)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0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SDO Admin / Automated System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0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0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Web Application &amp; Notification Engine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0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Approved minor offense is logged for a student; parent/guardian contact details exist in student profile.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1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Register minor offense count and dispatch instant SMS/Email warning alert to parent/guardian.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1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11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642241050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Start Watch Area → position child at different distances → observe reported distance and intervention behavior.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2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12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increments student's active minor offense counter (1st minor offense).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formats official parent warning message with offense details and date.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1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Multi-channel notification engine dispatches Email/SMS alert to registered guardian contact.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7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8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Notification dispatch status and timestamp are logged in parent_notifications table.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D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E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receiving 1st minor offense receives formal warning notification on student mobile app.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4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14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4A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Progressive Minor Offense Warning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14E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4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5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2nd Minor Offense Guardian Warning Alert (FR-05)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56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SDO Admin / Automated System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5A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B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5C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Web Application &amp; Notification Engine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60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Student already has 1 active minor offense; new minor offense report is approved by SDO Admin.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66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Record 2nd minor offense count and send mandatory parent warning alert emphasizing escalation risk.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6C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16D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192334440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Start Watch Area → face camera → blink normally → observe Blink Bubble/count → reduce blinking → observe system response.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7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17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7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7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updates student's active minor offense count to 2.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C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D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E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triggers 2nd minor offense warning template informing guardian of critical escalation.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3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4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Parent/guardian receives automated Email/SMS warning detailing 2nd minor infraction.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8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A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app displays 2nd Minor Offense Warning banner on student dashboard.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F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0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alerts student that a 3rd minor offense will trigger mandatory guidance counseling or UPCC panel referral.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19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9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Student App Alert Notification Engine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19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A0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A1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3rd Minor Mixed Offense Student Warning Modal (FR-06)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A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Student / System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A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A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Mobile Application (Flutter PWA/Android)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B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Student incurs 3rd minor offense (mixed offense categories); student opens mobile app.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B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Display mandatory un-dismissable warning modal in student app detailing offense accumulation.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B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1BE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-727519895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Start monitored session → maintain healthy behavior → observe HP → intentionally create distance/blink violations → observe HP changes.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C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1C4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C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C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mobile app detects 3rd minor offense status on login/dashboard load.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Un-dismissable modal pops up showing complete record of 3 minor offenses.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3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D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Modal displays required action steps (reporting to Guidance / SDO office).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9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D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Modal details potential sanction escalation if minor offenses continue to accumulate.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F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Acknowledging the modal logs student read-receipt timestamp in student_notifications table.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1EA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EC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Section 4 Minor Escalation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1F0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F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F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Section 4 Minor Escalation Trigger (FR-07)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F8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System / SDO Admin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FC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D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FE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Web Application &amp; Database Logic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02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Student accumulates 3 minor offenses under Section 4 of the Student Code of Conduct.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08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Evaluate Section 4 escalation rule and convert accumulated minor offenses to equivalent Major Case status.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0E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20F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1302354105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Open Virtual Pet → perform healthy/unhealthy monitored behaviors → observe HP, Stars, and pet state.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14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21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1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1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A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detects 3rd minor offense under Section 4 code of conduct rules.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F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0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Escalation engine automatically flags case as Escalated Major Offense under Section 4.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Case status transitions from minor offense tracking to formal UPCC Major Case queue.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C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Notification sent to Guidance Office and UPCC Panel regarding Section 4 escalation.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0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1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app updates case status to reflect formal Major Case referral.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6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7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23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3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Major Case Referral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24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24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43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Automatic Major Case Referral to UPCC (FR-08)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4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Automated System / SDO Admin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4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4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Web Application Backend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5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Major offense is logged by Guard/SDO Admin OR minor offenses escalate via Section 4 rule.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5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Initiate automatic referral of major offense case to University Discipline &amp; Misconduct Committee (UPCC).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5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26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2055639564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Start monitored session → trigger intervention condition → verify Blink Test appears → perform intentional blinks → complete required count.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6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26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6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6A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classifies infraction severity as Major Offense.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F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0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Case entry created in upcc_cases table with status Referred to UPCC.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5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UPCC Committee Members and Guidance Counselor receive new case alert notification.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Automated generation of Form F-005 Notice to Explain (NTE) drafted for student issuance.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8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dashboard displays active Major Case status and pending NTE requirement.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289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29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6475"/>
        <w:gridCol w:w="6475"/>
        <w:tblGridChange w:id="0">
          <w:tblGrid>
            <w:gridCol w:w="6475"/>
            <w:gridCol w:w="64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A">
            <w:pPr>
              <w:rPr>
                <w:rFonts w:ascii="Arial Narrow" w:cs="Arial Narrow" w:eastAsia="Arial Narrow" w:hAnsi="Arial Narrow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rPr>
                <w:rFonts w:ascii="Arial Narrow" w:cs="Arial Narrow" w:eastAsia="Arial Narrow" w:hAnsi="Arial Narrow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9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28C">
            <w:pPr>
              <w:jc w:val="center"/>
              <w:rPr>
                <w:rFonts w:ascii="Arial Narrow" w:cs="Arial Narrow" w:eastAsia="Arial Narrow" w:hAnsi="Arial Narr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8D">
            <w:pPr>
              <w:jc w:val="center"/>
              <w:rPr>
                <w:rFonts w:ascii="Arial Narrow" w:cs="Arial Narrow" w:eastAsia="Arial Narrow" w:hAnsi="Arial Narrow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28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9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Notice to Explain (NTE) Workflow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29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29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97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Form F-005 Notice to Explain Delivery (FR-09)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9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SDO Admin / Student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A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A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Mobile App &amp; Web Portal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A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Major case referred to UPCC; Form F-005 NTE issued by SDO Admin.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A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Deliver digital Form F-005 Notice to Explain to student app with 5-day deadline timer.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B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2B4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-617346076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Begin Watch Area session → maintain continuous usage → reach 20 minutes → observe break prompt → complete break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B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2BA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B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BE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SDO Admin publishes Form F-005 NTE specifying violation charges and response deadline.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3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4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app receives instant push/in-app notification of official NTE issuance.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can view PDF format Form F-005 detailing incident facts and panel instructions.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initializes 5-calendar-day countdown timer for written explanation submission.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Parent/guardian receives copy of Form F-005 NTE via registered email.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2DD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2D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E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Student Explanation Submission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2E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2E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E7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Student Written Explanation Submission (FR-10)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E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Student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F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F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Mobile Application (Flutter PWA/Android)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F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Active Form F-005 NTE issued to student; submission deadline timer active.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F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Student writes and submits official written explanation statement and optional supporting documents.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0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304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1004779366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Open child settings → configure daily usage → configure harmful/critical distance → choose monitoring mode → save.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0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30A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0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0E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0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app provides text input area and file attachment support for written explanation.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3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4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inputs statement accounting for reported incident details.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9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validates non-empty submission and uploads attached supporting evidence files.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F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Case status updates to Written Explanation Submitted - Awaiting UPCC Review.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Submissions timestamped and sealed for UPCC Committee review session access.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32D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33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3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UPCC Panel Hearing &amp; Attendance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33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3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39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UPCC Panel Hearing Scheduler (FR-11)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3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UPCC Admin / SDO Admin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4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4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4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Web Application (Admin Portal)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4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Student written explanation submitted or 5-day NTE window elapsed.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4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Schedule UPCC committee hearing date, time, venue, and panel composition.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5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35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-2128856363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Approach configured limit → observe warning → continue until limit → verify Daily Report/session lock → test PIN/biometric override.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5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35C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5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60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6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UPCC Admin sets hearing schedule (Date, Time, Location) and assigns panel members.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5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6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6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Official Hearing Notice generated and dispatched to student app and guardian email.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6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Hearing schedule populated on UPCC Committee member dashboard calendars.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7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app displays Hearing Schedule details with countdown timer to hearing date.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7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sends automated reminder notification 24 hours prior to scheduled hearing.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D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37F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38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8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Local Machine Learning Decision Engine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38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8A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8B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Local XGBoost AI Sanction Engine (FR-12)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9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UPCC Admin / System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9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9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Web Application Python AI Service (softeng_2-master)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9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Student offense history, academic year, offense category, and prior record loaded into case record.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A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Execute local XGBoost model (sanction_xgb_model.json) to compute recommended sanction hours.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A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3A8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1831202403"/>
                <w:tag w:val="goog_rdk_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Select child → open dashboard → inspect screen time → blink metrics → viewing-distance information → historical trend.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A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3AE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B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B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B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feeds structured case feature vector (offense type, severity, repeat count) to local XGBoost model.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B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XGBoost engine executes prediction locally without external API dependencies.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D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B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Engine returns recommended sanction type (Community Service) and exact recommended service hours.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3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4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C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Model confidence score and feature importance weights displayed on UPCC Panel review screen.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9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C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Panel members can view AI-recommended sanction benchmark alongside historical precedent cases.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3D1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3D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D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UPCC Category Consensus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3D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DC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DD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UPCC Panel Consensus &amp; Category Voting (FR-13)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E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UPCC Committee Members / Panel Chair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E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E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Web Application (UPCC Portal)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E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UPCC hearing in progress or concluded; panel members logged into consensus portal.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F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Panel members cast individual category votes and community service hour recommendations.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F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3F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-1310025015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Open child → select Share with Clinician → generate access → inspect OTP and QR.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F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400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0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04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0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Each UPCC panelist inputs individual vote for offense category classification and sanction duration.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9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A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0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calculates live panel consensus ratio and highlights majority/unanimous vote.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F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1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enforces minimum panel quorum required for decision finalization.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1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Panel Chair reviews aggregated votes and locks final committee recommendation.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1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Final committee decision transcript stored securely in upcc_hearing_minutes table.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423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42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2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Admin Decision Finalization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43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43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33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Admin Sanction Finalization &amp; Issuance (FR-14)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3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SDO Admin / UPCC Chair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3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3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Web Application (Admin Portal)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4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UPCC panel consensus reached; final sanction parameters approved.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4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Finalize official disciplinary resolution, assign community service hours, and issue formal decision order.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4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45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-1825953745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Log in as clinician → enter/scan valid OTP/QR → redeem → inspect telemetry dashboard.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5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45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5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5A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5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SDO Admin approves panel recommendation and enters final assigned community service hours.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F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0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6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updates case status to Sanction Finalized - Active Community Service.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5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6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Official Disciplinary Decision Resolution PDF generated and issued to student and guardian.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6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Active community service requirement created with exact assigned target hours (e.g., 20.0 hours).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7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mobile app dashboard updates immediately displaying assigned service requirement and progress tracker.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479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47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7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Account Access &amp; Security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48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484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85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Student App OTP Login Authentication (FR-15)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8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Student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8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9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Mobile Application (Flutter PWA/Android) &amp; API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9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Student account exists; registered email or mobile number on file.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9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Request email/SMS One-Time Password (OTP), receive 6-digit code, and authenticate session.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A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4A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1665303636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Open active patient telemetry → select PDF Export → generate file → inspect exported information.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A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4A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A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AC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A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enters registered Institutional Student ID / Email on mobile login screen.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1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2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B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generates cryptographically secure 6-digit OTP with 5-minute expiration timer.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8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B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Multi-channel mailer sends OTP email to student's institutional address.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B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Entering valid 6-digit OTP authenticates student and issues JWT session token.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C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Invalid or expired OTP is rejected with clear error message and attempt rate limiting.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4CB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4C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D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Account Access &amp; Security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4D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4D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D7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Student Account Access Mode Enforcement (FR-16)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D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Student / System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E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E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Mobile Application &amp; Web API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E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Student user attempts login; account status may be Active, Suspended, or Archived.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E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Enforce role-based access control, session token validation, and account status restrictions.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F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4F4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-1812322376"/>
                <w:tag w:val="goog_rdk_1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Establish session → terminate from clinician/guardian side → attempt continued access → separately verify expiration behavior.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F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4FA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F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FE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F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verifies active JWT session token on every API request.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3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4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0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Active student accounts gain full access to student dashboard and service tracking.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0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Suspended student accounts are restricted to view-only disciplinary notice screens.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F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1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Invalid/revoked tokens trigger immediate redirection to login screen.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5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1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Concurrent session handling invalidates stale session tokens securely.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51D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52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2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NFC &amp; Barcode Kiosk Clock-In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52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52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29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Community Service Kiosk Clock-In/Clock-Out (FR-17)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2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Student / Service Supervisor / Kiosk System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33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3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Web/Kiosk Terminal &amp; Barcode Scanner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3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Student has active community service requirement; Kiosk terminal active at supervisor station.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3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Scan student ID barcode/NFC at kiosk station to start or end a community service session.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4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54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-222482944"/>
                <w:tag w:val="goog_rdk_1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Admin login → open clinician records → review credentials → verify/validate clinician → test clinician access.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4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54C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4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50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5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Kiosk scanner reads student ID barcode or NFC tag successfully.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5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6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5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Clock-In records start timestamp, supervisor ID, location, and initializes active session.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5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app dashboard reflects live Session In Progress status.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6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Clock-Out records end timestamp, calculates elapsed session duration, and awaits supervisor verification.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6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prevents duplicate active session creation if a session is already running.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56F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57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7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Real-time Service Countdown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57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57A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7B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Live 1-Second Countdown Ticker Sync (FR-18)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5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8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Student / Mobile App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8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6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8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Mobile Application (Flutter PWA/Android)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8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Active community service session running; student opens mobile dashboard.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91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Execute 1-second periodic timer syncing live remaining service seconds on dashboard.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97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598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-733918924"/>
                <w:tag w:val="goog_rdk_1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Log in → open account management → select account → modify supported status → save → inspect presence indicator.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9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59E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A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A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A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Dashboard fetches community_service_remaining_sec from API on session start.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A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Flutter 1-second periodic ticker decrements remaining time smoothly in real-time.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D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E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A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Live timer displays remaining time formatted as HH:MM:SS (e.g., 04h 12m 30s).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3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4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B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Ticker automatically stops when session is paused or completed.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9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BB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Dashboard updates dynamically without requiring manual page refresh.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F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5C1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129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6475"/>
        <w:gridCol w:w="6475"/>
        <w:tblGridChange w:id="0">
          <w:tblGrid>
            <w:gridCol w:w="6475"/>
            <w:gridCol w:w="64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2">
            <w:pPr>
              <w:rPr>
                <w:rFonts w:ascii="Arial Narrow" w:cs="Arial Narrow" w:eastAsia="Arial Narrow" w:hAnsi="Arial Narrow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3">
            <w:pPr>
              <w:rPr>
                <w:rFonts w:ascii="Arial Narrow" w:cs="Arial Narrow" w:eastAsia="Arial Narrow" w:hAnsi="Arial Narrow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9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5C4">
            <w:pPr>
              <w:jc w:val="center"/>
              <w:rPr>
                <w:rFonts w:ascii="Arial Narrow" w:cs="Arial Narrow" w:eastAsia="Arial Narrow" w:hAnsi="Arial Narr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5C5">
            <w:pPr>
              <w:jc w:val="center"/>
              <w:rPr>
                <w:rFonts w:ascii="Arial Narrow" w:cs="Arial Narrow" w:eastAsia="Arial Narrow" w:hAnsi="Arial Narrow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6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5C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C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Isolated Service Hour Calculation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5CD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5CE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CF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Strict Isolated Service Hour Calculation (FR-19)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5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D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System Administrator / SDO Admin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D9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D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Web &amp; Mobile Backend Logic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DF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Student has completed prior community service requirements and receives a new active requirement.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E5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Compute completed service hours strictly filtered by active requirement_id.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EB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5EC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939992377"/>
                <w:tag w:val="goog_rdk_1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Perform supported configuration/admin actions → access audit logs as authorized administrator → locate corresponding records → inspect metadata.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F1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5F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F5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5F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F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queries service sessions filtered exclusively by active requirement_id.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FD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Hours completed from previous closed/resolved requirements are strictly isolated (return 0.0h for new case).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1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0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dashboard displays exactly 0.0 / Assigned Hours at start of new requirement.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7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8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09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Approved service session hours accumulate exclusively toward the current active case.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D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E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0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Admin portal community service view displays isolated hours for the selected case without cross-case residue.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4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6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 Narrow" w:cs="Arial Narrow" w:eastAsia="Arial Narrow" w:hAnsi="Arial Narrow"/>
        </w:rPr>
      </w:pPr>
      <w:r w:rsidDel="00000000" w:rsidR="00000000" w:rsidRPr="00000000">
        <w:rPr>
          <w:rtl w:val="0"/>
        </w:rPr>
      </w:r>
    </w:p>
    <w:tbl>
      <w:tblPr>
        <w:tblStyle w:val="Table24"/>
        <w:tblpPr w:leftFromText="180" w:rightFromText="180" w:topFromText="0" w:bottomFromText="0" w:vertAnchor="text" w:horzAnchor="text" w:tblpX="0" w:tblpY="0"/>
        <w:tblW w:w="129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137"/>
        <w:gridCol w:w="1841"/>
        <w:gridCol w:w="1559"/>
        <w:gridCol w:w="4141"/>
        <w:gridCol w:w="1725"/>
        <w:tblGridChange w:id="0">
          <w:tblGrid>
            <w:gridCol w:w="2547"/>
            <w:gridCol w:w="1137"/>
            <w:gridCol w:w="1841"/>
            <w:gridCol w:w="1559"/>
            <w:gridCol w:w="4141"/>
            <w:gridCol w:w="1725"/>
          </w:tblGrid>
        </w:tblGridChange>
      </w:tblGrid>
      <w:tr>
        <w:trPr>
          <w:cantSplit w:val="0"/>
          <w:trHeight w:val="295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61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</w:rPr>
            </w:pPr>
            <w:r>
              <w:t>MASTER COMBINED TEST DOCUMENT (FUNCTIONALITY, UNIT &amp; INTEGRATION)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1A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Module Name</w:t>
            </w:r>
          </w:p>
        </w:tc>
        <w:tc>
          <w:tcPr>
            <w:gridSpan w:val="3"/>
            <w:vAlign w:val="center"/>
          </w:tcPr>
          <w:p>
            <w:r>
              <w:t>Student Appeal Workflow Module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61E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4"/>
                <w:szCs w:val="24"/>
                <w:rtl w:val="0"/>
              </w:rPr>
              <w:t xml:space="preserve">Test Cycle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61F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20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Function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>
            <w:r>
              <w:t>Student Decision Appeal Request Submission (FR-20)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vMerge w:val="continue"/>
            <w:shd w:fill="bfbfbf" w:val="clear"/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26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User/Access Type</w:t>
            </w:r>
          </w:p>
        </w:tc>
        <w:tc>
          <w:tcPr>
            <w:gridSpan w:val="3"/>
            <w:vAlign w:val="center"/>
          </w:tcPr>
          <w:p>
            <w:r>
              <w:t>Student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2A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Date Tested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B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2C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Type of System</w:t>
            </w:r>
          </w:p>
        </w:tc>
        <w:tc>
          <w:tcPr>
            <w:gridSpan w:val="3"/>
            <w:vAlign w:val="center"/>
          </w:tcPr>
          <w:p>
            <w:r>
              <w:t>Mobile Application (Flutter PWA/Android)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30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Pre-conditions</w:t>
            </w:r>
          </w:p>
        </w:tc>
        <w:tc>
          <w:tcPr>
            <w:gridSpan w:val="5"/>
            <w:vAlign w:val="center"/>
          </w:tcPr>
          <w:p>
            <w:r>
              <w:t>Final disciplinary sanction issued; student within official 7-day appeal eligibility window.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36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Action Description</w:t>
            </w:r>
          </w:p>
        </w:tc>
        <w:tc>
          <w:tcPr>
            <w:gridSpan w:val="5"/>
            <w:vAlign w:val="center"/>
          </w:tcPr>
          <w:p>
            <w:r>
              <w:t>Submit formal appeal request with grounds for appeal and attached supporting evidence.</w:t>
            </w:r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3C">
            <w:pPr>
              <w:spacing w:after="0" w:line="240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Verification Steps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63D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sdt>
              <w:sdtPr>
                <w:id w:val="-1248494421"/>
                <w:tag w:val="goog_rdk_1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Disable internet → begin monitored session → generate blink/distance metrics → verify monitoring continues → reconnect internet → synchronize → inspect guardian/cloud data.</w:t>
                </w:r>
              </w:sdtContent>
            </w:sdt>
          </w:p>
        </w:tc>
      </w:tr>
      <w:tr>
        <w:trPr>
          <w:cantSplit w:val="0"/>
          <w:trHeight w:val="29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42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Runs</w:t>
            </w:r>
          </w:p>
        </w:tc>
        <w:tc>
          <w:tcPr>
            <w:gridSpan w:val="3"/>
            <w:shd w:fill="bfbfbf" w:val="clear"/>
            <w:vAlign w:val="center"/>
          </w:tcPr>
          <w:p w:rsidR="00000000" w:rsidDel="00000000" w:rsidP="00000000" w:rsidRDefault="00000000" w:rsidRPr="00000000" w14:paraId="00000643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46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47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48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Student app displays Submit Appeal button during active 7-day post-sanction window.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D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4E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Appeal submission form captures grounds for appeal (New Evidence, Procedural Error).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54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File attachment tool allows uploading PDF/image evidence documents.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5A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System logs appeal in upcc_appeals table and updates case status to Appeal Pending SDO Review.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7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60">
            <w:pPr>
              <w:spacing w:after="0" w:line="240" w:lineRule="auto"/>
              <w:jc w:val="center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gridSpan w:val="3"/>
            <w:shd w:fill="f2f2f2" w:val="clear"/>
            <w:vAlign w:val="center"/>
          </w:tcPr>
          <w:p>
            <w:r>
              <w:t>Submitting appeal pauses community service countdown until appeal decision is rendered.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4">
            <w:pPr>
              <w:spacing w:after="0" w:line="240" w:lineRule="auto"/>
              <w:rPr>
                <w:rFonts w:ascii="Arial Narrow" w:cs="Arial Narrow" w:eastAsia="Arial Narrow" w:hAnsi="Arial Narrow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spacing w:after="0" w:line="240" w:lineRule="auto"/>
              <w:rPr>
                <w:rFonts w:ascii="Arial Narrow" w:cs="Arial Narrow" w:eastAsia="Arial Narrow" w:hAnsi="Arial Narrow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666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914400</wp:posOffset>
            </wp:positionH>
            <wp:positionV relativeFrom="page">
              <wp:posOffset>1665250</wp:posOffset>
            </wp:positionV>
            <wp:extent cx="1147763" cy="911036"/>
            <wp:effectExtent b="0" l="0" r="0" t="0"/>
            <wp:wrapNone/>
            <wp:docPr id="20951711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47763" cy="91103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25"/>
        <w:tblW w:w="129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6475"/>
        <w:gridCol w:w="6475"/>
        <w:tblGridChange w:id="0">
          <w:tblGrid>
            <w:gridCol w:w="6475"/>
            <w:gridCol w:w="64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C">
            <w:pPr>
              <w:rPr>
                <w:rFonts w:ascii="Arial Narrow" w:cs="Arial Narrow" w:eastAsia="Arial Narrow" w:hAnsi="Arial Narrow"/>
                <w:b w:val="1"/>
                <w:bCs w:val="1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rtl w:val="0"/>
              </w:rPr>
              <w:t xml:space="preserve">Prepared By</w:t>
            </w:r>
          </w:p>
          <w:p w:rsidR="00000000" w:rsidDel="00000000" w:rsidP="00000000" w:rsidRDefault="00000000" w:rsidRPr="00000000" w14:paraId="0000066D">
            <w:pPr>
              <w:rPr>
                <w:rFonts w:ascii="Arial Narrow" w:cs="Arial Narrow" w:eastAsia="Arial Narrow" w:hAnsi="Arial Narrow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E">
            <w:pPr>
              <w:rPr>
                <w:rFonts w:ascii="Arial Narrow" w:cs="Arial Narrow" w:eastAsia="Arial Narrow" w:hAnsi="Arial Narrow"/>
                <w:b w:val="1"/>
                <w:bCs w:val="1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rtl w:val="0"/>
              </w:rPr>
              <w:t xml:space="preserve">Administered/Performed By</w:t>
            </w:r>
          </w:p>
        </w:tc>
      </w:tr>
      <w:tr>
        <w:trPr>
          <w:cantSplit w:val="0"/>
          <w:trHeight w:val="789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6F">
            <w:pPr>
              <w:jc w:val="left"/>
              <w:rPr>
                <w:rFonts w:ascii="Arial Narrow" w:cs="Arial Narrow" w:eastAsia="Arial Narrow" w:hAnsi="Arial Narrow"/>
                <w:u w:val="single"/>
              </w:rPr>
            </w:pPr>
            <w:r>
              <w:t>Romeo Paolo Tolentino</w:t>
            </w:r>
          </w:p>
          <w:p w:rsidR="00000000" w:rsidDel="00000000" w:rsidP="00000000" w:rsidRDefault="00000000" w:rsidRPr="00000000" w14:paraId="00000670">
            <w:pPr>
              <w:jc w:val="left"/>
              <w:rPr>
                <w:rFonts w:ascii="Arial Narrow" w:cs="Arial Narrow" w:eastAsia="Arial Narrow" w:hAnsi="Arial Narrow"/>
                <w:u w:val="singl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rtl w:val="0"/>
              </w:rPr>
              <w:t xml:space="preserve">Signature over Printed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71">
            <w:pPr>
              <w:jc w:val="left"/>
              <w:rPr>
                <w:rFonts w:ascii="Arial Narrow" w:cs="Arial Narrow" w:eastAsia="Arial Narrow" w:hAnsi="Arial Narr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72">
            <w:pPr>
              <w:jc w:val="left"/>
              <w:rPr>
                <w:rFonts w:ascii="Arial Narrow" w:cs="Arial Narrow" w:eastAsia="Arial Narrow" w:hAnsi="Arial Narrow"/>
                <w:u w:val="single"/>
              </w:rPr>
            </w:pPr>
            <w:r>
              <w:t>Student Discipline Office Admin</w:t>
            </w:r>
          </w:p>
          <w:p w:rsidR="00000000" w:rsidDel="00000000" w:rsidP="00000000" w:rsidRDefault="00000000" w:rsidRPr="00000000" w14:paraId="00000673">
            <w:pPr>
              <w:rPr>
                <w:rFonts w:ascii="Arial Narrow" w:cs="Arial Narrow" w:eastAsia="Arial Narrow" w:hAnsi="Arial Narrow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rtl w:val="0"/>
              </w:rPr>
              <w:t xml:space="preserve">Signature over Printed Name</w:t>
            </w:r>
          </w:p>
        </w:tc>
      </w:tr>
    </w:tbl>
    <w:p w:rsidR="00000000" w:rsidDel="00000000" w:rsidP="00000000" w:rsidRDefault="00000000" w:rsidRPr="00000000" w14:paraId="00000674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rtl w:val="0"/>
        </w:rPr>
        <w:t xml:space="preserve">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676">
      <w:pPr>
        <w:spacing w:after="0" w:line="240" w:lineRule="auto"/>
        <w:rPr>
          <w:rFonts w:ascii="Arial Narrow" w:cs="Arial Narrow" w:eastAsia="Arial Narrow" w:hAnsi="Arial Narrow"/>
          <w:u w:val="singl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rtl w:val="0"/>
        </w:rPr>
        <w:t xml:space="preserve">                                                                                                                                   </w:t>
      </w:r>
      <w:r w:rsidDel="00000000" w:rsidR="00000000" w:rsidRPr="00000000">
        <w:rPr>
          <w:rFonts w:ascii="Arial Narrow" w:cs="Arial Narrow" w:eastAsia="Arial Narrow" w:hAnsi="Arial Narrow"/>
          <w:rtl w:val="0"/>
        </w:rPr>
        <w:t xml:space="preserve">J</w:t>
      </w:r>
      <w:r w:rsidDel="00000000" w:rsidR="00000000" w:rsidRPr="00000000">
        <w:rPr>
          <w:rFonts w:ascii="Arial Narrow" w:cs="Arial Narrow" w:eastAsia="Arial Narrow" w:hAnsi="Arial Narrow"/>
          <w:u w:val="single"/>
          <w:rtl w:val="0"/>
        </w:rPr>
        <w:t xml:space="preserve">oseph Juilius Ceasar C. Castillo</w:t>
      </w:r>
    </w:p>
    <w:p w:rsidR="00000000" w:rsidDel="00000000" w:rsidP="00000000" w:rsidRDefault="00000000" w:rsidRPr="00000000" w14:paraId="00000677">
      <w:pPr>
        <w:spacing w:after="0" w:line="240" w:lineRule="auto"/>
        <w:rPr>
          <w:rFonts w:ascii="Arial Narrow" w:cs="Arial Narrow" w:eastAsia="Arial Narrow" w:hAnsi="Arial Narrow"/>
        </w:rPr>
      </w:pPr>
      <w:r w:rsidDel="00000000" w:rsidR="00000000" w:rsidRPr="00000000">
        <w:rPr>
          <w:rFonts w:ascii="Arial Narrow" w:cs="Arial Narrow" w:eastAsia="Arial Narrow" w:hAnsi="Arial Narrow"/>
          <w:rtl w:val="0"/>
        </w:rPr>
        <w:t xml:space="preserve">                                                                                                                                    Signature over Printed Name</w:t>
      </w:r>
    </w:p>
    <w:p w:rsidR="00000000" w:rsidDel="00000000" w:rsidP="00000000" w:rsidRDefault="00000000" w:rsidRPr="00000000" w14:paraId="00000678">
      <w:pPr>
        <w:spacing w:after="0" w:line="240" w:lineRule="auto"/>
        <w:rPr>
          <w:rFonts w:ascii="Arial Narrow" w:cs="Arial Narrow" w:eastAsia="Arial Narrow" w:hAnsi="Arial Narr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Fonts w:ascii="Arial Narrow" w:cs="Arial Narrow" w:eastAsia="Arial Narrow" w:hAnsi="Arial Narrow"/>
          <w:rtl w:val="0"/>
        </w:rPr>
        <w:t xml:space="preserve">                    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spacing w:after="0" w:line="240" w:lineRule="auto"/>
        <w:rPr>
          <w:rFonts w:ascii="Arial Narrow" w:cs="Arial Narrow" w:eastAsia="Arial Narrow" w:hAnsi="Arial Narrow"/>
          <w:u w:val="singl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rtl w:val="0"/>
        </w:rPr>
        <w:t xml:space="preserve">                                                                                                                                   </w:t>
      </w:r>
      <w:r w:rsidDel="00000000" w:rsidR="00000000" w:rsidRPr="00000000">
        <w:rPr>
          <w:rFonts w:ascii="Arial Narrow" w:cs="Arial Narrow" w:eastAsia="Arial Narrow" w:hAnsi="Arial Narrow"/>
          <w:u w:val="single"/>
          <w:rtl w:val="0"/>
        </w:rPr>
        <w:t xml:space="preserve">Dominic A. Torres</w:t>
      </w:r>
    </w:p>
    <w:p w:rsidR="00000000" w:rsidDel="00000000" w:rsidP="00000000" w:rsidRDefault="00000000" w:rsidRPr="00000000" w14:paraId="0000067B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rtl w:val="0"/>
        </w:rPr>
        <w:t xml:space="preserve">                                                                                                                                   </w:t>
      </w:r>
      <w:r w:rsidDel="00000000" w:rsidR="00000000" w:rsidRPr="00000000">
        <w:rPr>
          <w:rFonts w:ascii="Arial Narrow" w:cs="Arial Narrow" w:eastAsia="Arial Narrow" w:hAnsi="Arial Narrow"/>
          <w:rtl w:val="0"/>
        </w:rPr>
        <w:t xml:space="preserve">Signature over Printed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0" w:line="240" w:lineRule="auto"/>
        <w:rPr>
          <w:rFonts w:ascii="Arial Narrow" w:cs="Arial Narrow" w:eastAsia="Arial Narrow" w:hAnsi="Arial Narrow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2240" w:w="15840" w:orient="landscape"/>
      <w:pgMar w:bottom="1440" w:top="2160" w:left="1440" w:right="1440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63708E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3708E"/>
  </w:style>
  <w:style w:type="paragraph" w:styleId="Footer">
    <w:name w:val="footer"/>
    <w:basedOn w:val="Normal"/>
    <w:link w:val="FooterChar"/>
    <w:uiPriority w:val="99"/>
    <w:unhideWhenUsed w:val="1"/>
    <w:rsid w:val="0063708E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3708E"/>
  </w:style>
  <w:style w:type="table" w:styleId="TableGrid">
    <w:name w:val="Table Grid"/>
    <w:basedOn w:val="TableNormal"/>
    <w:uiPriority w:val="39"/>
    <w:rsid w:val="0063708E"/>
    <w:pPr>
      <w:spacing w:after="0" w:line="240" w:lineRule="auto"/>
    </w:pPr>
    <w:rPr>
      <w:lang w:val="en-PH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Default" w:customStyle="1">
    <w:name w:val="Default"/>
    <w:rsid w:val="0063708E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  <w:lang w:val="en-PH"/>
    </w:rPr>
  </w:style>
  <w:style w:type="character" w:styleId="A0" w:customStyle="1">
    <w:name w:val="A0"/>
    <w:uiPriority w:val="99"/>
    <w:rsid w:val="0063708E"/>
    <w:rPr>
      <w:color w:val="000000"/>
      <w:sz w:val="20"/>
      <w:szCs w:val="20"/>
    </w:rPr>
  </w:style>
  <w:style w:type="character" w:styleId="Heading2Char" w:customStyle="1">
    <w:name w:val="Heading 2 Char"/>
    <w:basedOn w:val="DefaultParagraphFont"/>
    <w:link w:val="Heading2"/>
    <w:uiPriority w:val="9"/>
    <w:rsid w:val="009B719A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character" w:styleId="PlaceholderText">
    <w:name w:val="Placeholder Text"/>
    <w:basedOn w:val="DefaultParagraphFont"/>
    <w:uiPriority w:val="99"/>
    <w:semiHidden w:val="1"/>
    <w:rsid w:val="00755D2B"/>
    <w:rPr>
      <w:color w:val="80808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MAtDgjCLXR6TmdR9OVGrUvDawg==">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2026-09-24T07:59:00Z</dcterms:created>
  <dc:creator>Rogel M. Labanan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0x010100AFADCA1EEE6018489F171CDA450AB7DE</vt:lpwstr>
  </property>
  <property fmtid="{D5CDD505-2E9C-101B-9397-08002B2CF9AE}" pid="3" name="MSIP_Label_8a813f4b-519a-4481-a498-85770f517757_Enabled">
    <vt:lpwstr>true</vt:lpwstr>
  </property>
  <property fmtid="{D5CDD505-2E9C-101B-9397-08002B2CF9AE}" pid="4" name="MSIP_Label_8a813f4b-519a-4481-a498-85770f517757_SetDate">
    <vt:lpwstr>2026-09-24T04:00:33Z</vt:lpwstr>
  </property>
  <property fmtid="{D5CDD505-2E9C-101B-9397-08002B2CF9AE}" pid="5" name="MSIP_Label_8a813f4b-519a-4481-a498-85770f517757_Method">
    <vt:lpwstr>Standard</vt:lpwstr>
  </property>
  <property fmtid="{D5CDD505-2E9C-101B-9397-08002B2CF9AE}" pid="6" name="MSIP_Label_8a813f4b-519a-4481-a498-85770f517757_Name">
    <vt:lpwstr>Anyone (unrestricted)</vt:lpwstr>
  </property>
  <property fmtid="{D5CDD505-2E9C-101B-9397-08002B2CF9AE}" pid="7" name="MSIP_Label_8a813f4b-519a-4481-a498-85770f517757_SiteId">
    <vt:lpwstr>1d981f77-3ca3-46ae-b0d4-e8044e6c7f84</vt:lpwstr>
  </property>
  <property fmtid="{D5CDD505-2E9C-101B-9397-08002B2CF9AE}" pid="8" name="MSIP_Label_8a813f4b-519a-4481-a498-85770f517757_ActionId">
    <vt:lpwstr>d119ce58-9a56-44a0-acb5-e0c916fa1ea1</vt:lpwstr>
  </property>
  <property fmtid="{D5CDD505-2E9C-101B-9397-08002B2CF9AE}" pid="9" name="MSIP_Label_8a813f4b-519a-4481-a498-85770f517757_ContentBits">
    <vt:lpwstr>0</vt:lpwstr>
  </property>
  <property fmtid="{D5CDD505-2E9C-101B-9397-08002B2CF9AE}" pid="10" name="MSIP_Label_8a813f4b-519a-4481-a498-85770f517757_Tag">
    <vt:lpwstr>10, 3, 0, 1</vt:lpwstr>
  </property>
</Properties>
</file>