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ind w:firstLine="0" w:firstLineChars="0"/>
        <w:jc w:val="center"/>
        <w:rPr>
          <w:rFonts w:hint="default" w:ascii="Times New Roman" w:hAnsi="Times New Roman" w:eastAsiaTheme="minorEastAsia"/>
          <w:color w:val="auto"/>
          <w:sz w:val="30"/>
          <w:szCs w:val="30"/>
          <w:lang w:val="en-US" w:eastAsia="zh-CN"/>
        </w:rPr>
      </w:pPr>
      <w:bookmarkStart w:id="0" w:name="_GoBack"/>
      <w:bookmarkEnd w:id="0"/>
      <w:r>
        <w:rPr>
          <w:rFonts w:hint="eastAsia" w:ascii="Times New Roman" w:hAnsi="Times New Roman" w:eastAsiaTheme="minorEastAsia"/>
          <w:color w:val="auto"/>
          <w:sz w:val="30"/>
          <w:szCs w:val="30"/>
          <w:lang w:val="en-US" w:eastAsia="zh-CN"/>
        </w:rPr>
        <w:t>诊断测试题</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jc w:val="left"/>
        <w:textAlignment w:val="auto"/>
        <w:rPr>
          <w:rFonts w:hint="default" w:ascii="Times New Roman Regular" w:hAnsi="Times New Roman Regular" w:eastAsia="宋体" w:cs="Times New Roman Regular"/>
          <w:kern w:val="0"/>
          <w:sz w:val="30"/>
          <w:szCs w:val="30"/>
          <w:lang w:val="en-US" w:eastAsia="zh-CN" w:bidi="ar"/>
        </w:rPr>
      </w:pPr>
      <w:r>
        <w:rPr>
          <w:rFonts w:hint="default" w:ascii="Times New Roman Regular" w:hAnsi="Times New Roman Regular" w:eastAsia="宋体" w:cs="Times New Roman Regular"/>
          <w:kern w:val="0"/>
          <w:sz w:val="30"/>
          <w:szCs w:val="30"/>
          <w:lang w:val="en-US" w:eastAsia="zh-CN" w:bidi="ar"/>
        </w:rPr>
        <w:t>数据</w:t>
      </w:r>
      <w:r>
        <w:rPr>
          <w:rFonts w:hint="default" w:ascii="Times New Roman Regular" w:hAnsi="Times New Roman Regular" w:eastAsia="宋体" w:cs="Times New Roman Regular"/>
          <w:kern w:val="0"/>
          <w:sz w:val="30"/>
          <w:szCs w:val="30"/>
          <w:lang w:val="en-US" w:eastAsia="zh-CN" w:bidi="ar"/>
        </w:rPr>
        <w:t>准备</w:t>
      </w:r>
      <w:r>
        <w:rPr>
          <w:rFonts w:hint="default" w:ascii="Times New Roman Regular" w:hAnsi="Times New Roman Regular" w:eastAsia="宋体" w:cs="Times New Roman Regular"/>
          <w:kern w:val="0"/>
          <w:sz w:val="30"/>
          <w:szCs w:val="30"/>
          <w:lang w:val="en-US" w:eastAsia="zh-CN" w:bidi="ar"/>
        </w:rPr>
        <w:t xml:space="preserve">： </w:t>
      </w:r>
    </w:p>
    <w:p>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jc w:val="left"/>
        <w:textAlignment w:val="auto"/>
        <w:rPr>
          <w:rFonts w:hint="default" w:ascii="Times New Roman Regular" w:hAnsi="Times New Roman Regular" w:eastAsia="宋体" w:cs="Times New Roman Regular"/>
          <w:kern w:val="0"/>
          <w:sz w:val="24"/>
          <w:szCs w:val="24"/>
          <w:lang w:val="en-US" w:eastAsia="zh-CN" w:bidi="ar"/>
        </w:rPr>
      </w:pPr>
      <w:r>
        <w:rPr>
          <w:rFonts w:hint="eastAsia" w:ascii="Times New Roman Regular" w:hAnsi="Times New Roman Regular" w:eastAsia="宋体" w:cs="Times New Roman Regular"/>
          <w:kern w:val="0"/>
          <w:sz w:val="24"/>
          <w:szCs w:val="24"/>
          <w:lang w:val="en-US" w:eastAsia="zh-CN" w:bidi="ar"/>
        </w:rPr>
        <w:t>（1）</w:t>
      </w:r>
      <w:r>
        <w:rPr>
          <w:rFonts w:hint="default" w:ascii="Times New Roman Regular" w:hAnsi="Times New Roman Regular" w:eastAsia="宋体" w:cs="Times New Roman Regular"/>
          <w:kern w:val="0"/>
          <w:sz w:val="24"/>
          <w:szCs w:val="24"/>
          <w:lang w:val="en-US" w:eastAsia="zh-CN" w:bidi="ar"/>
        </w:rPr>
        <w:t xml:space="preserve">训练集1：从GEO下载GSE185392数据集（子宫内膜组织样本，样本及类型：10例疾病样本和10例对照组织样本（疾病 vs对照）（GPL24676））；测序类型：高通量；用途：ROC曲线和表达量分析【PMID：40832467】【注：样本数量以实际下载为准】 </w:t>
      </w:r>
    </w:p>
    <w:p>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jc w:val="left"/>
        <w:textAlignment w:val="auto"/>
        <w:rPr>
          <w:rFonts w:hint="default" w:ascii="Times New Roman Regular" w:hAnsi="Times New Roman Regular" w:eastAsia="宋体" w:cs="Times New Roman Regular"/>
          <w:kern w:val="0"/>
          <w:sz w:val="24"/>
          <w:szCs w:val="24"/>
          <w:lang w:val="en-US" w:eastAsia="zh-CN" w:bidi="ar"/>
        </w:rPr>
      </w:pPr>
      <w:r>
        <w:rPr>
          <w:rFonts w:hint="eastAsia" w:ascii="Times New Roman Regular" w:hAnsi="Times New Roman Regular" w:eastAsia="宋体" w:cs="Times New Roman Regular"/>
          <w:kern w:val="0"/>
          <w:sz w:val="24"/>
          <w:szCs w:val="24"/>
          <w:lang w:val="en-US" w:eastAsia="zh-CN" w:bidi="ar"/>
        </w:rPr>
        <w:t>（2）</w:t>
      </w:r>
      <w:r>
        <w:rPr>
          <w:rFonts w:hint="default" w:ascii="Times New Roman Regular" w:hAnsi="Times New Roman Regular" w:eastAsia="宋体" w:cs="Times New Roman Regular"/>
          <w:kern w:val="0"/>
          <w:sz w:val="24"/>
          <w:szCs w:val="24"/>
          <w:lang w:val="en-US" w:eastAsia="zh-CN" w:bidi="ar"/>
        </w:rPr>
        <w:t>训练集2：从GEO下载 GSE190580 数据集（子宫肌层组织样本，样本及类型：6例疾病样本和5例对照组织样本（疾病 vs对照）（GPL16791））；测序类型：高通量；用途：差异表达分析【PMID：40989079】【注：样本数量以实际下载为准】。 验证集：</w:t>
      </w:r>
      <w:r>
        <w:rPr>
          <w:rFonts w:hint="default" w:ascii="Times New Roman Regular" w:hAnsi="Times New Roman Regular" w:eastAsia="宋体" w:cs="Times New Roman Regular"/>
          <w:kern w:val="0"/>
          <w:sz w:val="24"/>
          <w:szCs w:val="24"/>
          <w:lang w:val="en-US" w:eastAsia="zh-CN" w:bidi="ar"/>
        </w:rPr>
        <w:br w:type="textWrapping"/>
      </w:r>
      <w:r>
        <w:rPr>
          <w:rFonts w:hint="eastAsia" w:ascii="Times New Roman Regular" w:hAnsi="Times New Roman Regular" w:eastAsia="宋体" w:cs="Times New Roman Regular"/>
          <w:kern w:val="0"/>
          <w:sz w:val="24"/>
          <w:szCs w:val="24"/>
          <w:lang w:val="en-US" w:eastAsia="zh-CN" w:bidi="ar"/>
        </w:rPr>
        <w:t>（3）</w:t>
      </w:r>
      <w:r>
        <w:rPr>
          <w:rFonts w:hint="default" w:ascii="Times New Roman Regular" w:hAnsi="Times New Roman Regular" w:eastAsia="宋体" w:cs="Times New Roman Regular"/>
          <w:kern w:val="0"/>
          <w:sz w:val="24"/>
          <w:szCs w:val="24"/>
          <w:lang w:val="en-US" w:eastAsia="zh-CN" w:bidi="ar"/>
        </w:rPr>
        <w:t xml:space="preserve">从GEO下载GSE244236数据集（子宫内膜组织样本，样本及类型：15例疾病样本和14例对照组织样本（疾病 vs对照）【剔除处于妊娠期的样本】（GPL21697））；测序类型：高通量；用途：差异表达分析【PMID：34980152，40832467】【注：样本数量以实际下载为准】。 </w:t>
      </w:r>
    </w:p>
    <w:p>
      <w:pPr>
        <w:numPr>
          <w:numId w:val="0"/>
        </w:numPr>
        <w:spacing w:line="360" w:lineRule="auto"/>
        <w:ind w:leftChars="0"/>
        <w:rPr>
          <w:rFonts w:hint="default" w:ascii="Times New Roman" w:hAnsi="Times New Roman" w:eastAsiaTheme="minorEastAsia"/>
          <w:color w:val="auto"/>
          <w:sz w:val="24"/>
        </w:rPr>
      </w:pPr>
      <w:r>
        <w:rPr>
          <w:rFonts w:hint="eastAsia" w:ascii="Times New Roman" w:hAnsi="Times New Roman" w:cs="Times New Roman"/>
          <w:b w:val="0"/>
          <w:bCs w:val="0"/>
          <w:color w:val="auto"/>
          <w:kern w:val="0"/>
          <w:sz w:val="24"/>
          <w:szCs w:val="21"/>
          <w:lang w:eastAsia="zh-CN"/>
        </w:rPr>
        <w:t>（</w:t>
      </w:r>
      <w:r>
        <w:rPr>
          <w:rFonts w:hint="eastAsia" w:ascii="Times New Roman" w:hAnsi="Times New Roman" w:cs="Times New Roman"/>
          <w:b w:val="0"/>
          <w:bCs w:val="0"/>
          <w:color w:val="auto"/>
          <w:kern w:val="0"/>
          <w:sz w:val="24"/>
          <w:szCs w:val="21"/>
          <w:lang w:val="en-US" w:eastAsia="zh-CN"/>
        </w:rPr>
        <w:t>3）</w:t>
      </w:r>
      <w:r>
        <w:rPr>
          <w:rFonts w:hint="eastAsia" w:ascii="Times New Roman" w:hAnsi="Times New Roman" w:eastAsia="宋体" w:cs="Times New Roman"/>
          <w:b w:val="0"/>
          <w:bCs w:val="0"/>
          <w:color w:val="auto"/>
          <w:kern w:val="0"/>
          <w:sz w:val="24"/>
          <w:szCs w:val="21"/>
        </w:rPr>
        <w:t>线粒体生物发生基因集：从Molecular Signatures Database (MSigDB) (</w:t>
      </w:r>
      <w:r>
        <w:rPr>
          <w:rFonts w:hint="eastAsia" w:ascii="Times New Roman" w:hAnsi="Times New Roman" w:eastAsia="宋体" w:cs="Times New Roman"/>
          <w:b w:val="0"/>
          <w:bCs w:val="0"/>
          <w:color w:val="auto"/>
          <w:kern w:val="0"/>
          <w:sz w:val="24"/>
          <w:szCs w:val="21"/>
          <w:lang w:eastAsia="zh-CN"/>
        </w:rPr>
        <w:t>GOBP_MITOCHONDRION_ORGANIZATION (GO:0007005) 基因集</w:t>
      </w:r>
      <w:r>
        <w:rPr>
          <w:rFonts w:hint="eastAsia" w:ascii="Times New Roman" w:hAnsi="Times New Roman" w:eastAsia="宋体" w:cs="Times New Roman"/>
          <w:b w:val="0"/>
          <w:bCs w:val="0"/>
          <w:color w:val="auto"/>
          <w:kern w:val="0"/>
          <w:sz w:val="24"/>
          <w:szCs w:val="21"/>
        </w:rPr>
        <w:t>)获取线粒体生物发生相关基因集合</w:t>
      </w:r>
      <w:r>
        <w:rPr>
          <w:rFonts w:hint="eastAsia" w:ascii="Times New Roman" w:hAnsi="Times New Roman" w:eastAsia="宋体" w:cs="Times New Roman"/>
          <w:b w:val="0"/>
          <w:bCs w:val="0"/>
          <w:color w:val="auto"/>
          <w:kern w:val="0"/>
          <w:sz w:val="24"/>
          <w:szCs w:val="21"/>
          <w:lang w:eastAsia="zh-CN"/>
        </w:rPr>
        <w:t xml:space="preserve">，该集合包含 </w:t>
      </w:r>
      <w:r>
        <w:rPr>
          <w:rFonts w:hint="eastAsia" w:ascii="Times New Roman" w:hAnsi="Times New Roman" w:eastAsia="宋体" w:cs="Times New Roman"/>
          <w:b w:val="0"/>
          <w:bCs w:val="0"/>
          <w:color w:val="auto"/>
          <w:kern w:val="0"/>
          <w:sz w:val="24"/>
          <w:szCs w:val="21"/>
          <w:lang w:val="en-US" w:eastAsia="zh-CN"/>
        </w:rPr>
        <w:t>421</w:t>
      </w:r>
      <w:r>
        <w:rPr>
          <w:rFonts w:hint="eastAsia" w:ascii="Times New Roman" w:hAnsi="Times New Roman" w:eastAsia="宋体" w:cs="Times New Roman"/>
          <w:b w:val="0"/>
          <w:bCs w:val="0"/>
          <w:color w:val="auto"/>
          <w:kern w:val="0"/>
          <w:sz w:val="24"/>
          <w:szCs w:val="21"/>
          <w:lang w:eastAsia="zh-CN"/>
        </w:rPr>
        <w:t xml:space="preserve"> 个与线粒体组装、结构重塑及生物发生密切相关的基因</w:t>
      </w:r>
      <w:r>
        <w:rPr>
          <w:rFonts w:hint="eastAsia" w:ascii="Times New Roman" w:hAnsi="Times New Roman" w:eastAsia="宋体" w:cs="Times New Roman"/>
          <w:b w:val="0"/>
          <w:bCs w:val="0"/>
          <w:color w:val="auto"/>
          <w:kern w:val="0"/>
          <w:sz w:val="24"/>
          <w:szCs w:val="21"/>
        </w:rPr>
        <w:t>。</w:t>
      </w:r>
    </w:p>
    <w:p>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jc w:val="left"/>
        <w:textAlignment w:val="auto"/>
        <w:rPr>
          <w:rFonts w:hint="default" w:ascii="Times New Roman Regular" w:hAnsi="Times New Roman Regular" w:eastAsia="宋体" w:cs="Times New Roman Regular"/>
          <w:kern w:val="0"/>
          <w:sz w:val="24"/>
          <w:szCs w:val="24"/>
          <w:lang w:val="en-US" w:eastAsia="zh-CN" w:bidi="ar"/>
        </w:rPr>
      </w:pPr>
    </w:p>
    <w:p>
      <w:pPr>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30"/>
          <w:szCs w:val="30"/>
          <w:lang w:val="en-US" w:eastAsia="zh-CN" w:bidi="ar"/>
        </w:rPr>
        <w:t>差异表达基因的鉴定</w:t>
      </w:r>
      <w:r>
        <w:rPr>
          <w:rFonts w:hint="eastAsia" w:ascii="Times New Roman Regular" w:hAnsi="Times New Roman Regular" w:cs="Times New Roman Regular"/>
          <w:kern w:val="0"/>
          <w:sz w:val="30"/>
          <w:szCs w:val="30"/>
          <w:lang w:val="en-US" w:eastAsia="zh-CN" w:bidi="ar"/>
        </w:rPr>
        <w:t>【</w:t>
      </w:r>
      <w:r>
        <w:rPr>
          <w:rFonts w:hint="default" w:ascii="Times New Roman Regular" w:hAnsi="Times New Roman Regular" w:eastAsia="宋体" w:cs="Times New Roman Regular"/>
          <w:kern w:val="0"/>
          <w:sz w:val="24"/>
          <w:szCs w:val="24"/>
          <w:lang w:val="en-US" w:eastAsia="zh-CN" w:bidi="ar"/>
        </w:rPr>
        <w:t>在训练集1和2中进行</w:t>
      </w:r>
      <w:r>
        <w:rPr>
          <w:rFonts w:hint="eastAsia" w:ascii="Times New Roman Regular" w:hAnsi="Times New Roman Regular" w:eastAsia="宋体" w:cs="Times New Roman Regular"/>
          <w:kern w:val="0"/>
          <w:sz w:val="24"/>
          <w:szCs w:val="24"/>
          <w:lang w:val="en-US" w:eastAsia="zh-CN" w:bidi="ar"/>
        </w:rPr>
        <w:t>】</w:t>
      </w:r>
    </w:p>
    <w:p>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ind w:leftChars="0" w:firstLine="480" w:firstLineChars="200"/>
        <w:jc w:val="left"/>
        <w:textAlignment w:val="auto"/>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t>为了获取疾病样本和对照样本之间的DEGs，在训练集1和2中使用R包“DESeq2”对疾病样本和对照样本（疾病 vs对照）进行差异分析，得到DEGs1和DEGs2，阈值设定为|log2FC|&gt;1且adj.P&lt;0.05。【注：筛选结果不好时，可适当调整阈值。最低阈值P&lt;0.05和|log2FC|&gt;0.5】使用R包“ggplot2”和“pheatmap”分别绘制火山图和热图展示DEGs（Fig.1a和b）【两个差异分析使用的阈值需要一致】 之后，基于DEGs1和DEGs2，将两个数据集差异分析都上调的基因和都下调的基因取交集，之后取并集，获得最终的DEGs（Fig.1c）。</w:t>
      </w:r>
    </w:p>
    <w:p>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jc w:val="left"/>
        <w:textAlignment w:val="auto"/>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t xml:space="preserve"> Fig 1 a：DEGs 1和2的火山图（左）；b：DEGs1和2的表达热图（右）。 </w:t>
      </w:r>
      <w:r>
        <w:rPr>
          <w:rFonts w:hint="default" w:ascii="Times New Roman Regular" w:hAnsi="Times New Roman Regular" w:eastAsia="宋体" w:cs="Times New Roman Regular"/>
          <w:kern w:val="0"/>
          <w:sz w:val="24"/>
          <w:szCs w:val="24"/>
          <w:lang w:val="en-US" w:eastAsia="zh-CN" w:bidi="ar"/>
        </w:rPr>
        <w:t xml:space="preserve"> </w:t>
      </w:r>
      <w:r>
        <w:rPr>
          <w:rFonts w:hint="default" w:ascii="Times New Roman Regular" w:hAnsi="Times New Roman Regular" w:eastAsia="宋体" w:cs="Times New Roman Regular"/>
          <w:kern w:val="0"/>
          <w:sz w:val="24"/>
          <w:szCs w:val="24"/>
          <w:lang w:val="en-US" w:eastAsia="zh-CN" w:bidi="ar"/>
        </w:rPr>
        <w:t xml:space="preserve"> Fig 1 c：DEGs1和DEGs2的上调基因和下调基因分别取交集 </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Regular" w:hAnsi="Times New Roman Regular" w:eastAsia="宋体" w:cs="Times New Roman Regular"/>
          <w:kern w:val="0"/>
          <w:sz w:val="30"/>
          <w:szCs w:val="30"/>
          <w:lang w:val="en-US" w:eastAsia="zh-CN" w:bidi="ar"/>
        </w:rPr>
      </w:pPr>
      <w:r>
        <w:rPr>
          <w:rFonts w:hint="default" w:ascii="Times New Roman Regular" w:hAnsi="Times New Roman Regular" w:eastAsia="宋体" w:cs="Times New Roman Regular"/>
          <w:kern w:val="0"/>
          <w:sz w:val="30"/>
          <w:szCs w:val="30"/>
          <w:lang w:val="en-US" w:eastAsia="zh-CN" w:bidi="ar"/>
        </w:rPr>
        <w:t>候选基因的获取</w:t>
      </w:r>
    </w:p>
    <w:p>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ind w:leftChars="0" w:firstLine="480" w:firstLineChars="200"/>
        <w:jc w:val="left"/>
        <w:textAlignment w:val="auto"/>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t>为系统识别子宫腺肌病中与神经—</w:t>
      </w:r>
      <w:r>
        <w:rPr>
          <w:rFonts w:hint="eastAsia" w:ascii="Times New Roman" w:hAnsi="Times New Roman" w:eastAsia="宋体" w:cs="Times New Roman"/>
          <w:b w:val="0"/>
          <w:bCs w:val="0"/>
          <w:color w:val="auto"/>
          <w:kern w:val="0"/>
          <w:sz w:val="24"/>
          <w:szCs w:val="21"/>
        </w:rPr>
        <w:t>线粒体生物发生</w:t>
      </w:r>
      <w:r>
        <w:rPr>
          <w:rFonts w:hint="default" w:ascii="Times New Roman Regular" w:hAnsi="Times New Roman Regular" w:eastAsia="宋体" w:cs="Times New Roman Regular"/>
          <w:kern w:val="0"/>
          <w:sz w:val="24"/>
          <w:szCs w:val="24"/>
          <w:lang w:val="en-US" w:eastAsia="zh-CN" w:bidi="ar"/>
        </w:rPr>
        <w:t xml:space="preserve">对应基因集合，基于训练集中疾病组与正常组的差异表达分析结果DEGs，34238253，35271662 为了确定候选基因的潜在功能和途径，使用R包“clusterProfiler”对候选基因进行GO和KEGG富集分析。根据阈值adj.P&lt;0.05【若分析结果不好再使用P&lt;0.05进行分析】的标准确定结果的显著性。展示GO富集结果和KEGG富集结果（Fig.2a）。【注：展示富集通路条数可依据实际分析情况而定，一般GO展示TOP10，KEGG展示TOP10，可调整】 </w:t>
      </w:r>
      <w:r>
        <w:rPr>
          <w:rFonts w:hint="default" w:ascii="Times New Roman Regular" w:hAnsi="Times New Roman Regular" w:eastAsia="宋体" w:cs="Times New Roman Regular"/>
          <w:kern w:val="0"/>
          <w:sz w:val="24"/>
          <w:szCs w:val="24"/>
          <w:lang w:val="en-US" w:eastAsia="zh-CN" w:bidi="ar"/>
        </w:rPr>
        <w:t xml:space="preserve"> Fig.2 </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Regular" w:hAnsi="Times New Roman Regular" w:eastAsia="宋体" w:cs="Times New Roman Regular"/>
          <w:kern w:val="0"/>
          <w:sz w:val="30"/>
          <w:szCs w:val="30"/>
          <w:lang w:val="en-US" w:eastAsia="zh-CN" w:bidi="ar"/>
        </w:rPr>
      </w:pPr>
      <w:r>
        <w:rPr>
          <w:rFonts w:hint="default" w:ascii="Times New Roman Regular" w:hAnsi="Times New Roman Regular" w:eastAsia="宋体" w:cs="Times New Roman Regular"/>
          <w:kern w:val="0"/>
          <w:sz w:val="30"/>
          <w:szCs w:val="30"/>
          <w:lang w:val="en-US" w:eastAsia="zh-CN" w:bidi="ar"/>
        </w:rPr>
        <w:t>PPI分析</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80" w:firstLineChars="200"/>
        <w:jc w:val="left"/>
        <w:textAlignment w:val="auto"/>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t xml:space="preserve">为深入揭示候选基因所对应蛋白的协作模式及其在关键生物过程和疾病调控中的可能功能，本研究通过STRING数据库（https://cn.string-db.org/）获取相关蛋白的相互作用信息，并据此构建蛋白质互作网络（PPI）。分析中将相互作用得分的最低可信标准设为0.4，必要时可在0.15至0.9之间灵活调整以满足不同研究情境。随后借助Cytoscape软件对构建的互作网络进行图形化呈现，使蛋白之间的联系层次与网络结构更直观地展现出来（Fig. 3）。此步骤旨在探索蛋白互作模式，不作为基因筛选依据。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80" w:firstLineChars="200"/>
        <w:jc w:val="left"/>
        <w:textAlignment w:val="auto"/>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t xml:space="preserve"> Fig. 3 PPI网络 </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Regular" w:hAnsi="Times New Roman Regular" w:eastAsia="宋体" w:cs="Times New Roman Regular"/>
          <w:kern w:val="0"/>
          <w:sz w:val="30"/>
          <w:szCs w:val="30"/>
          <w:lang w:val="en-US" w:eastAsia="zh-CN" w:bidi="ar"/>
        </w:rPr>
      </w:pPr>
      <w:r>
        <w:rPr>
          <w:rFonts w:hint="default" w:ascii="Times New Roman Regular" w:hAnsi="Times New Roman Regular" w:eastAsia="宋体" w:cs="Times New Roman Regular"/>
          <w:kern w:val="0"/>
          <w:sz w:val="30"/>
          <w:szCs w:val="30"/>
          <w:lang w:val="en-US" w:eastAsia="zh-CN" w:bidi="ar"/>
        </w:rPr>
        <w:t xml:space="preserve">机器学习分析[在训练集1中进行]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80" w:firstLineChars="200"/>
        <w:jc w:val="left"/>
        <w:textAlignment w:val="auto"/>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t>为了从候选基因中筛选出与子宫腺肌病相关的特征基因。在训练集中，通过对子宫腺肌病组和对照组进行随机森林（Random Forest，RF）、最小绝对收缩和选择运算符（Least Absolute Shrinkage and Selection Operator，LASSO）、支持向量机递归特征消除（Machine Recursive Feature Elimination，SVM-RFE），进一步筛选得到特征基因。</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80" w:firstLineChars="200"/>
        <w:jc w:val="left"/>
        <w:textAlignment w:val="auto"/>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t>1.随机森林</w:t>
      </w:r>
      <w:r>
        <w:rPr>
          <w:rFonts w:hint="eastAsia" w:ascii="Times New Roman Regular" w:hAnsi="Times New Roman Regular" w:eastAsia="宋体" w:cs="Times New Roman Regular"/>
          <w:kern w:val="0"/>
          <w:sz w:val="24"/>
          <w:szCs w:val="24"/>
          <w:lang w:val="en-US" w:eastAsia="zh-CN" w:bidi="ar"/>
        </w:rPr>
        <w:t>：</w:t>
      </w:r>
      <w:r>
        <w:rPr>
          <w:rFonts w:hint="default" w:ascii="Times New Roman Regular" w:hAnsi="Times New Roman Regular" w:eastAsia="宋体" w:cs="Times New Roman Regular"/>
          <w:kern w:val="0"/>
          <w:sz w:val="24"/>
          <w:szCs w:val="24"/>
          <w:lang w:val="en-US" w:eastAsia="zh-CN" w:bidi="ar"/>
        </w:rPr>
        <w:t>利用R包“randomForest”构建生存回归模型，并通过500次迭代的袋外误差（OOB）估计结合10折交叉验证，确定模型的最优参数，包括节点分裂时考虑的变量数（mtry）以及模型中决策树的数目（ntree）。在此基础上，采用平均最小深度法评估各基因变量的重要性并进行排序。最终，依据分析需求设定严格或宽松的筛选策略：严格筛选可选取重要性排名前30%（或固定前20名等）的基因；宽松筛选则保留重要性得分高于全部基因平均值的基因，以此得到特征基因1（备注：取基因数量可适当调整）（Fig. 4a）。</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80" w:firstLineChars="200"/>
        <w:jc w:val="left"/>
        <w:textAlignment w:val="auto"/>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t>2. LASSO</w:t>
      </w:r>
      <w:r>
        <w:rPr>
          <w:rFonts w:hint="eastAsia" w:ascii="Times New Roman Regular" w:hAnsi="Times New Roman Regular" w:eastAsia="宋体" w:cs="Times New Roman Regular"/>
          <w:kern w:val="0"/>
          <w:sz w:val="24"/>
          <w:szCs w:val="24"/>
          <w:lang w:val="en-US" w:eastAsia="zh-CN" w:bidi="ar"/>
        </w:rPr>
        <w:t>：</w:t>
      </w:r>
      <w:r>
        <w:rPr>
          <w:rFonts w:hint="default" w:ascii="Times New Roman Regular" w:hAnsi="Times New Roman Regular" w:eastAsia="宋体" w:cs="Times New Roman Regular"/>
          <w:kern w:val="0"/>
          <w:sz w:val="24"/>
          <w:szCs w:val="24"/>
          <w:lang w:val="en-US" w:eastAsia="zh-CN" w:bidi="ar"/>
        </w:rPr>
        <w:t>LASSO是一种回归分析算法，具有变量选择和正则化功能，有助于避免过度拟合并提高预测准确性。在训练集中使用R语言的“glmnet”包通过最小绝对收缩和选择运算符LASSO回归(logistic regression)，应用10倍交叉验证【可调整】来评估模型性能，通过寻找最佳λ来筛选特征基因2（Fig. 4b）。</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80" w:firstLineChars="200"/>
        <w:jc w:val="left"/>
        <w:textAlignment w:val="auto"/>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t>最后使用R包“venn”将随机森林、SVM-RFE和LASSO回归</w:t>
      </w:r>
      <w:r>
        <w:rPr>
          <w:rFonts w:hint="eastAsia" w:ascii="Times New Roman Regular" w:hAnsi="Times New Roman Regular" w:eastAsia="宋体" w:cs="Times New Roman Regular"/>
          <w:kern w:val="0"/>
          <w:sz w:val="24"/>
          <w:szCs w:val="24"/>
          <w:lang w:val="en-US" w:eastAsia="zh-CN" w:bidi="ar"/>
        </w:rPr>
        <w:t>两</w:t>
      </w:r>
      <w:r>
        <w:rPr>
          <w:rFonts w:hint="default" w:ascii="Times New Roman Regular" w:hAnsi="Times New Roman Regular" w:eastAsia="宋体" w:cs="Times New Roman Regular"/>
          <w:kern w:val="0"/>
          <w:sz w:val="24"/>
          <w:szCs w:val="24"/>
          <w:lang w:val="en-US" w:eastAsia="zh-CN" w:bidi="ar"/>
        </w:rPr>
        <w:t>种机器学习算法得到的特征基因取交集并可视化，最终得到子宫腺肌病疾病的特征基因（Fig. 4d）。</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Times New Roman Regular" w:hAnsi="Times New Roman Regular" w:eastAsia="宋体" w:cs="Times New Roman Regular"/>
          <w:kern w:val="0"/>
          <w:sz w:val="30"/>
          <w:szCs w:val="30"/>
          <w:lang w:val="en-US" w:eastAsia="zh-CN" w:bidi="ar"/>
        </w:rPr>
      </w:pPr>
      <w:r>
        <w:rPr>
          <w:rFonts w:hint="default" w:ascii="Times New Roman Regular" w:hAnsi="Times New Roman Regular" w:eastAsia="宋体" w:cs="Times New Roman Regular"/>
          <w:kern w:val="0"/>
          <w:sz w:val="30"/>
          <w:szCs w:val="30"/>
          <w:lang w:val="en-US" w:eastAsia="zh-CN" w:bidi="ar"/>
        </w:rPr>
        <w:t>表达</w:t>
      </w:r>
      <w:r>
        <w:rPr>
          <w:rFonts w:hint="eastAsia" w:ascii="Times New Roman Regular" w:hAnsi="Times New Roman Regular" w:eastAsia="宋体" w:cs="Times New Roman Regular"/>
          <w:kern w:val="0"/>
          <w:sz w:val="30"/>
          <w:szCs w:val="30"/>
          <w:lang w:val="en-US" w:eastAsia="zh-CN" w:bidi="ar"/>
        </w:rPr>
        <w:t>量</w:t>
      </w:r>
      <w:r>
        <w:rPr>
          <w:rFonts w:hint="default" w:ascii="Times New Roman Regular" w:hAnsi="Times New Roman Regular" w:eastAsia="宋体" w:cs="Times New Roman Regular"/>
          <w:kern w:val="0"/>
          <w:sz w:val="30"/>
          <w:szCs w:val="30"/>
          <w:lang w:val="en-US" w:eastAsia="zh-CN" w:bidi="ar"/>
        </w:rPr>
        <w:t>水平</w:t>
      </w:r>
      <w:r>
        <w:rPr>
          <w:rFonts w:hint="eastAsia" w:ascii="Times New Roman Regular" w:hAnsi="Times New Roman Regular" w:eastAsia="宋体" w:cs="Times New Roman Regular"/>
          <w:kern w:val="0"/>
          <w:sz w:val="30"/>
          <w:szCs w:val="30"/>
          <w:lang w:val="en-US" w:eastAsia="zh-CN" w:bidi="ar"/>
        </w:rPr>
        <w:t>分析+</w:t>
      </w:r>
      <w:r>
        <w:rPr>
          <w:rFonts w:hint="default" w:ascii="Times New Roman Regular" w:hAnsi="Times New Roman Regular" w:eastAsia="宋体" w:cs="Times New Roman Regular"/>
          <w:kern w:val="0"/>
          <w:sz w:val="30"/>
          <w:szCs w:val="30"/>
          <w:lang w:val="en-US" w:eastAsia="zh-CN" w:bidi="ar"/>
        </w:rPr>
        <w:t>ROC</w:t>
      </w:r>
      <w:r>
        <w:rPr>
          <w:rFonts w:hint="eastAsia" w:ascii="Times New Roman Regular" w:hAnsi="Times New Roman Regular" w:eastAsia="宋体" w:cs="Times New Roman Regular"/>
          <w:kern w:val="0"/>
          <w:sz w:val="30"/>
          <w:szCs w:val="30"/>
          <w:lang w:val="en-US" w:eastAsia="zh-CN" w:bidi="ar"/>
        </w:rPr>
        <w:t>曲线分析</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80" w:firstLineChars="200"/>
        <w:jc w:val="left"/>
        <w:textAlignment w:val="auto"/>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t>为了分析特征基因在疾病和对照样本中的表达情况，在训练集GSE185392</w:t>
      </w:r>
      <w:r>
        <w:rPr>
          <w:rFonts w:hint="eastAsia" w:ascii="Times New Roman Regular" w:hAnsi="Times New Roman Regular" w:eastAsia="宋体" w:cs="Times New Roman Regular"/>
          <w:kern w:val="0"/>
          <w:sz w:val="24"/>
          <w:szCs w:val="24"/>
          <w:lang w:val="en-US" w:eastAsia="zh-CN" w:bidi="ar"/>
        </w:rPr>
        <w:t>、GSE190580、验证集GSE244236</w:t>
      </w:r>
      <w:r>
        <w:rPr>
          <w:rFonts w:hint="default" w:ascii="Times New Roman Regular" w:hAnsi="Times New Roman Regular" w:eastAsia="宋体" w:cs="Times New Roman Regular"/>
          <w:kern w:val="0"/>
          <w:sz w:val="24"/>
          <w:szCs w:val="24"/>
          <w:lang w:val="en-US" w:eastAsia="zh-CN" w:bidi="ar"/>
        </w:rPr>
        <w:t>的子宫腺肌病样本和对照样本中，基于特征基因，使用Wilcoxon秩和检验比较组间差异，比较特征基因在训练集和验证集的子宫腺肌病样本和对照样本之间的表达差异，阈值：P&lt;0.05，选取在训练集和验证集的组间差异显著且两个数据集中表达趋势一致作为候选关键基因，使用R包“ggplot2”进行可视化。结果展示（Fig.5a）。</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80" w:firstLineChars="200"/>
        <w:jc w:val="left"/>
        <w:textAlignment w:val="auto"/>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t>为了评估候选关键基因区分子宫腺肌病样本和正常样本的能力，训练集GSE185392、</w:t>
      </w:r>
      <w:r>
        <w:rPr>
          <w:rFonts w:hint="eastAsia" w:ascii="Times New Roman Regular" w:hAnsi="Times New Roman Regular" w:eastAsia="宋体" w:cs="Times New Roman Regular"/>
          <w:kern w:val="0"/>
          <w:sz w:val="24"/>
          <w:szCs w:val="24"/>
          <w:lang w:val="en-US" w:eastAsia="zh-CN" w:bidi="ar"/>
        </w:rPr>
        <w:t>验证集GSE244236</w:t>
      </w:r>
      <w:r>
        <w:rPr>
          <w:rFonts w:hint="default" w:ascii="Times New Roman Regular" w:hAnsi="Times New Roman Regular" w:eastAsia="宋体" w:cs="Times New Roman Regular"/>
          <w:kern w:val="0"/>
          <w:sz w:val="24"/>
          <w:szCs w:val="24"/>
          <w:lang w:val="en-US" w:eastAsia="zh-CN" w:bidi="ar"/>
        </w:rPr>
        <w:t>中，基于候选关键基因使用R包“pROC”绘制ROC曲线并计算AUC，使用R包“plot”绘制ROC曲线，计算AUC值（Fig.5b）。【AUC值超过0.7被认为候选关键基因区分子宫腺肌病样本能力较好，阈值可以根据实际情况进行调整，但不能低于0.7，并且避免AUC=1时出现过拟合现象的情况】。选择训练集和验证集样本中AUC都大于0.7且不等于1的候选关键基因作为关键基因进行后续分析。</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2010600030101010101"/>
    <w:charset w:val="80"/>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冬青黑体简体中文">
    <w:panose1 w:val="020B0300000000000000"/>
    <w:charset w:val="86"/>
    <w:family w:val="auto"/>
    <w:pitch w:val="default"/>
    <w:sig w:usb0="A00002BF" w:usb1="1ACF7CFA" w:usb2="00000016" w:usb3="00000000" w:csb0="00060007" w:csb1="00000000"/>
  </w:font>
  <w:font w:name="Times New Roman Regular">
    <w:panose1 w:val="020205030504050903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6C05C7"/>
    <w:multiLevelType w:val="singleLevel"/>
    <w:tmpl w:val="556C05C7"/>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ADC005"/>
    <w:rsid w:val="1D7E561F"/>
    <w:rsid w:val="3ADF20D0"/>
    <w:rsid w:val="76ADF21C"/>
    <w:rsid w:val="F7BD5CC6"/>
    <w:rsid w:val="FFADC0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2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customStyle="1" w:styleId="5">
    <w:name w:val="1"/>
    <w:basedOn w:val="1"/>
    <w:qFormat/>
    <w:uiPriority w:val="0"/>
    <w:pPr>
      <w:spacing w:line="360" w:lineRule="auto"/>
      <w:ind w:firstLine="0" w:firstLineChars="0"/>
    </w:pPr>
    <w:rPr>
      <w:rFonts w:eastAsia="宋体" w:cs="Times New Roman"/>
      <w:bCs/>
      <w:color w:val="00000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2026-05-25T13:47:00Z</dcterms:created>
  <dc:creator>雪</dc:creator>
  <cp:lastModifiedBy>雪</cp:lastModifiedBy>
  <dcterms:modified xsi:type="dcterms:W3CDTF">2026-05-25T14:01:31Z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1DCBAECCE48111BE63E2136A2A3DA3E5_41</vt:lpwstr>
  </property>
</Properties>
</file>