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0" w:firstLineChars="0"/>
        <w:jc w:val="center"/>
        <w:rPr>
          <w:rFonts w:hint="default" w:ascii="Times New Roman" w:hAnsi="Times New Roman" w:eastAsiaTheme="minorEastAsia"/>
          <w:color w:val="auto"/>
          <w:sz w:val="28"/>
          <w:szCs w:val="28"/>
          <w:lang w:val="en-US" w:eastAsia="zh-CN"/>
        </w:rPr>
      </w:pPr>
      <w:r>
        <w:rPr>
          <w:rFonts w:hint="eastAsia" w:ascii="Times New Roman" w:hAnsi="Times New Roman" w:eastAsiaTheme="minorEastAsia"/>
          <w:color w:val="auto"/>
          <w:sz w:val="28"/>
          <w:szCs w:val="28"/>
          <w:lang w:val="en-US" w:eastAsia="zh-CN"/>
        </w:rPr>
        <w:t>预后</w:t>
      </w:r>
      <w:bookmarkStart w:id="4" w:name="_GoBack"/>
      <w:r>
        <w:rPr>
          <w:rFonts w:hint="eastAsia" w:ascii="Times New Roman" w:hAnsi="Times New Roman" w:eastAsiaTheme="minorEastAsia"/>
          <w:color w:val="auto"/>
          <w:sz w:val="28"/>
          <w:szCs w:val="28"/>
          <w:lang w:val="en-US" w:eastAsia="zh-CN"/>
        </w:rPr>
        <w:t>测试题</w:t>
      </w:r>
    </w:p>
    <w:p>
      <w:pPr>
        <w:pStyle w:val="2"/>
        <w:ind w:firstLine="0" w:firstLineChars="0"/>
        <w:rPr>
          <w:rFonts w:hint="default" w:ascii="Times New Roman" w:hAnsi="Times New Roman" w:eastAsiaTheme="minorEastAsia"/>
          <w:color w:val="auto"/>
        </w:rPr>
      </w:pPr>
      <w:r>
        <w:rPr>
          <w:rFonts w:hint="eastAsia" w:ascii="Times New Roman" w:hAnsi="Times New Roman" w:eastAsiaTheme="minorEastAsia"/>
          <w:color w:val="auto"/>
          <w:lang w:val="en-US" w:eastAsia="zh-CN"/>
        </w:rPr>
        <w:t>一、</w:t>
      </w:r>
      <w:r>
        <w:rPr>
          <w:rFonts w:hint="default" w:ascii="Times New Roman" w:hAnsi="Times New Roman" w:eastAsiaTheme="minorEastAsia"/>
          <w:color w:val="auto"/>
        </w:rPr>
        <w:t>数据准备</w:t>
      </w:r>
      <w:r>
        <w:rPr>
          <w:rFonts w:hint="default" w:ascii="Times New Roman" w:hAnsi="Times New Roman" w:eastAsiaTheme="minorEastAsia"/>
          <w:color w:val="auto"/>
        </w:rPr>
        <w:t>：</w:t>
      </w:r>
    </w:p>
    <w:bookmarkEnd w:id="4"/>
    <w:p>
      <w:pPr>
        <w:numPr>
          <w:ilvl w:val="0"/>
          <w:numId w:val="1"/>
        </w:numPr>
        <w:spacing w:line="360" w:lineRule="auto"/>
        <w:ind w:left="420" w:leftChars="0" w:hanging="420" w:firstLineChars="0"/>
        <w:rPr>
          <w:rFonts w:hint="default" w:ascii="Times New Roman" w:hAnsi="Times New Roman" w:eastAsiaTheme="minorEastAsia"/>
          <w:color w:val="auto"/>
          <w:sz w:val="24"/>
          <w:lang w:val="en-US" w:eastAsia="zh-CN"/>
        </w:rPr>
      </w:pPr>
      <w:r>
        <w:rPr>
          <w:rFonts w:hint="default" w:ascii="Times New Roman" w:hAnsi="Times New Roman" w:eastAsiaTheme="minorEastAsia"/>
          <w:color w:val="auto"/>
          <w:sz w:val="24"/>
          <w:lang w:val="en-US" w:eastAsia="zh-CN"/>
        </w:rPr>
        <w:t>训练集：从TCGA中下载</w:t>
      </w:r>
      <w:bookmarkStart w:id="0" w:name="OLE_LINK21"/>
      <w:bookmarkStart w:id="1" w:name="OLE_LINK22"/>
      <w:r>
        <w:rPr>
          <w:rFonts w:hint="default" w:ascii="Times New Roman" w:hAnsi="Times New Roman" w:eastAsiaTheme="minorEastAsia"/>
          <w:color w:val="auto"/>
          <w:sz w:val="24"/>
          <w:lang w:val="en-US" w:eastAsia="zh-CN"/>
        </w:rPr>
        <w:t>PRAD数据集的转录组数据（</w:t>
      </w:r>
      <w:bookmarkStart w:id="2" w:name="OLE_LINK24"/>
      <w:bookmarkStart w:id="3" w:name="OLE_LINK23"/>
      <w:r>
        <w:rPr>
          <w:rFonts w:hint="default" w:ascii="Times New Roman" w:hAnsi="Times New Roman" w:eastAsiaTheme="minorEastAsia"/>
          <w:color w:val="auto"/>
          <w:sz w:val="24"/>
          <w:lang w:val="en-US" w:eastAsia="zh-CN"/>
        </w:rPr>
        <w:t>前列腺组织，</w:t>
      </w:r>
      <w:bookmarkEnd w:id="2"/>
      <w:bookmarkEnd w:id="3"/>
      <w:r>
        <w:rPr>
          <w:rFonts w:hint="default" w:ascii="Times New Roman" w:hAnsi="Times New Roman" w:eastAsiaTheme="minorEastAsia"/>
          <w:color w:val="auto"/>
          <w:sz w:val="24"/>
          <w:lang w:val="en-US" w:eastAsia="zh-CN"/>
        </w:rPr>
        <w:t>包含49</w:t>
      </w:r>
      <w:r>
        <w:rPr>
          <w:rFonts w:hint="eastAsia" w:ascii="Times New Roman" w:hAnsi="Times New Roman" w:eastAsiaTheme="minorEastAsia"/>
          <w:color w:val="auto"/>
          <w:sz w:val="24"/>
          <w:lang w:val="en-US" w:eastAsia="zh-CN"/>
        </w:rPr>
        <w:t>9</w:t>
      </w:r>
      <w:r>
        <w:rPr>
          <w:rFonts w:hint="default" w:ascii="Times New Roman" w:hAnsi="Times New Roman" w:eastAsiaTheme="minorEastAsia"/>
          <w:color w:val="auto"/>
          <w:sz w:val="24"/>
          <w:lang w:val="en-US" w:eastAsia="zh-CN"/>
        </w:rPr>
        <w:t>例癌组织样本和52例癌旁正常组织样本（癌 vs癌旁））</w:t>
      </w:r>
      <w:bookmarkEnd w:id="0"/>
      <w:bookmarkEnd w:id="1"/>
      <w:r>
        <w:rPr>
          <w:rFonts w:hint="eastAsia" w:ascii="Times New Roman" w:hAnsi="Times New Roman" w:eastAsiaTheme="minorEastAsia"/>
          <w:color w:val="auto"/>
          <w:sz w:val="24"/>
          <w:lang w:val="en-US" w:eastAsia="zh-CN"/>
        </w:rPr>
        <w:t>，TCGA-PRAD有572例样本含有临床数据，包括生存时间，生存状态，TNM分期等，其中既有转录组数据又有临床数据的样本为</w:t>
      </w:r>
      <w:r>
        <w:rPr>
          <w:rFonts w:hint="eastAsia" w:ascii="Times New Roman" w:hAnsi="Times New Roman" w:cs="Times New Roman" w:eastAsiaTheme="minorEastAsia"/>
          <w:i w:val="0"/>
          <w:iCs w:val="0"/>
          <w:caps w:val="0"/>
          <w:color w:val="auto"/>
          <w:spacing w:val="0"/>
          <w:sz w:val="24"/>
          <w:szCs w:val="24"/>
          <w:shd w:val="clear"/>
        </w:rPr>
        <w:t>419</w:t>
      </w:r>
      <w:r>
        <w:rPr>
          <w:rFonts w:hint="eastAsia" w:ascii="Times New Roman" w:hAnsi="Times New Roman" w:eastAsiaTheme="minorEastAsia"/>
          <w:color w:val="auto"/>
          <w:sz w:val="24"/>
          <w:lang w:val="en-US" w:eastAsia="zh-CN"/>
        </w:rPr>
        <w:t>例</w:t>
      </w:r>
      <w:r>
        <w:rPr>
          <w:rFonts w:hint="default" w:ascii="Times New Roman" w:hAnsi="Times New Roman" w:eastAsiaTheme="minorEastAsia"/>
          <w:color w:val="auto"/>
          <w:sz w:val="24"/>
          <w:lang w:val="en-US" w:eastAsia="zh-CN"/>
        </w:rPr>
        <w:t>；测序类型：高通量测序；用途：DEGs的鉴定、预后模型的构建和后续分析【PMID：38221616】【</w:t>
      </w:r>
      <w:r>
        <w:rPr>
          <w:rFonts w:hint="default" w:ascii="Times New Roman" w:hAnsi="Times New Roman" w:eastAsiaTheme="minorEastAsia"/>
          <w:color w:val="auto"/>
          <w:sz w:val="24"/>
          <w:lang w:val="en-US" w:eastAsia="zh-CN"/>
        </w:rPr>
        <w:t>注：样本数量以实际下载为准</w:t>
      </w:r>
      <w:r>
        <w:rPr>
          <w:rFonts w:hint="default" w:ascii="Times New Roman" w:hAnsi="Times New Roman" w:eastAsiaTheme="minorEastAsia"/>
          <w:color w:val="auto"/>
          <w:sz w:val="24"/>
          <w:lang w:val="en-US" w:eastAsia="zh-CN"/>
        </w:rPr>
        <w:t>】</w:t>
      </w:r>
    </w:p>
    <w:p>
      <w:pPr>
        <w:numPr>
          <w:ilvl w:val="0"/>
          <w:numId w:val="2"/>
        </w:numPr>
        <w:spacing w:line="360" w:lineRule="auto"/>
        <w:rPr>
          <w:rFonts w:hint="default" w:ascii="Times New Roman" w:hAnsi="Times New Roman" w:eastAsiaTheme="minorEastAsia"/>
          <w:color w:val="auto"/>
          <w:sz w:val="24"/>
        </w:rPr>
      </w:pPr>
      <w:r>
        <w:rPr>
          <w:rFonts w:hint="default" w:ascii="Times New Roman" w:hAnsi="Times New Roman" w:eastAsiaTheme="minorEastAsia"/>
          <w:color w:val="auto"/>
          <w:sz w:val="24"/>
        </w:rPr>
        <w:t>验证集：从基因表达综合数据库（Gene Expression Omnibus，</w:t>
      </w:r>
      <w:r>
        <w:rPr>
          <w:rFonts w:hint="default" w:ascii="Times New Roman" w:hAnsi="Times New Roman" w:eastAsiaTheme="minorEastAsia"/>
          <w:color w:val="auto"/>
          <w:sz w:val="24"/>
        </w:rPr>
        <w:t>GEO，https://www.ncbi.nlm.nih.gov/geo/）</w:t>
      </w:r>
      <w:r>
        <w:rPr>
          <w:rFonts w:hint="default" w:ascii="Times New Roman" w:hAnsi="Times New Roman" w:eastAsiaTheme="minorEastAsia"/>
          <w:color w:val="auto"/>
          <w:sz w:val="24"/>
        </w:rPr>
        <w:t>下载</w:t>
      </w:r>
      <w:r>
        <w:rPr>
          <w:rFonts w:hint="default" w:ascii="Times New Roman" w:hAnsi="Times New Roman" w:eastAsiaTheme="minorEastAsia"/>
          <w:color w:val="auto"/>
          <w:sz w:val="24"/>
          <w:lang w:val="en-US" w:eastAsia="zh-CN"/>
        </w:rPr>
        <w:t xml:space="preserve">GSE94767 </w:t>
      </w:r>
      <w:r>
        <w:rPr>
          <w:rFonts w:hint="default" w:ascii="Times New Roman" w:hAnsi="Times New Roman" w:eastAsiaTheme="minorEastAsia"/>
          <w:color w:val="auto"/>
          <w:sz w:val="24"/>
        </w:rPr>
        <w:t>数据</w:t>
      </w:r>
      <w:r>
        <w:rPr>
          <w:rFonts w:hint="default" w:ascii="Times New Roman" w:hAnsi="Times New Roman" w:eastAsiaTheme="minorEastAsia"/>
          <w:color w:val="auto"/>
          <w:sz w:val="24"/>
          <w:lang w:val="en-US" w:eastAsia="zh-CN"/>
        </w:rPr>
        <w:t>集（GPL5175平台）。</w:t>
      </w:r>
      <w:r>
        <w:rPr>
          <w:rFonts w:hint="default" w:ascii="Times New Roman" w:hAnsi="Times New Roman" w:eastAsiaTheme="minorEastAsia"/>
          <w:color w:val="auto"/>
          <w:sz w:val="24"/>
        </w:rPr>
        <w:t>样本类型及数量：</w:t>
      </w:r>
      <w:r>
        <w:rPr>
          <w:rFonts w:hint="default" w:ascii="Times New Roman" w:hAnsi="Times New Roman" w:cs="Times New Roman" w:eastAsiaTheme="minorEastAsia"/>
          <w:i w:val="0"/>
          <w:iCs w:val="0"/>
          <w:caps w:val="0"/>
          <w:color w:val="auto"/>
          <w:spacing w:val="0"/>
          <w:sz w:val="24"/>
          <w:szCs w:val="24"/>
          <w:shd w:val="clear" w:fill="FFFFFF"/>
          <w:lang w:val="en-US" w:eastAsia="zh-CN"/>
        </w:rPr>
        <w:t>前列腺癌</w:t>
      </w:r>
      <w:r>
        <w:rPr>
          <w:rFonts w:hint="default" w:ascii="Times New Roman" w:hAnsi="Times New Roman" w:eastAsiaTheme="minorEastAsia"/>
          <w:color w:val="auto"/>
          <w:sz w:val="24"/>
          <w:lang w:val="en-US" w:eastAsia="zh-CN"/>
        </w:rPr>
        <w:t>组织</w:t>
      </w:r>
      <w:r>
        <w:rPr>
          <w:rFonts w:hint="default" w:ascii="Times New Roman" w:hAnsi="Times New Roman" w:eastAsiaTheme="minorEastAsia"/>
          <w:color w:val="auto"/>
          <w:sz w:val="24"/>
        </w:rPr>
        <w:t>样本和</w:t>
      </w:r>
      <w:r>
        <w:rPr>
          <w:rFonts w:hint="default" w:ascii="Times New Roman" w:hAnsi="Times New Roman" w:eastAsiaTheme="minorEastAsia"/>
          <w:color w:val="auto"/>
          <w:sz w:val="24"/>
          <w:lang w:val="en-US" w:eastAsia="zh-CN"/>
        </w:rPr>
        <w:t>正常对</w:t>
      </w:r>
      <w:r>
        <w:rPr>
          <w:rFonts w:hint="default" w:ascii="Times New Roman" w:hAnsi="Times New Roman" w:eastAsiaTheme="minorEastAsia"/>
          <w:color w:val="auto"/>
          <w:sz w:val="24"/>
        </w:rPr>
        <w:t>照</w:t>
      </w:r>
      <w:r>
        <w:rPr>
          <w:rFonts w:hint="default" w:ascii="Times New Roman" w:hAnsi="Times New Roman" w:eastAsiaTheme="minorEastAsia"/>
          <w:color w:val="auto"/>
          <w:sz w:val="24"/>
          <w:lang w:val="en-US" w:eastAsia="zh-CN"/>
        </w:rPr>
        <w:t>的组织样本（18</w:t>
      </w:r>
      <w:r>
        <w:rPr>
          <w:rFonts w:hint="eastAsia" w:ascii="Times New Roman" w:hAnsi="Times New Roman" w:eastAsiaTheme="minorEastAsia"/>
          <w:color w:val="auto"/>
          <w:sz w:val="24"/>
          <w:lang w:val="en-US" w:eastAsia="zh-CN"/>
        </w:rPr>
        <w:t>3</w:t>
      </w:r>
      <w:r>
        <w:rPr>
          <w:rFonts w:hint="default" w:ascii="Times New Roman" w:hAnsi="Times New Roman" w:eastAsiaTheme="minorEastAsia"/>
          <w:color w:val="auto"/>
          <w:sz w:val="24"/>
          <w:lang w:val="en-US" w:eastAsia="zh-CN"/>
        </w:rPr>
        <w:t>/51，</w:t>
      </w:r>
      <w:r>
        <w:rPr>
          <w:rFonts w:hint="default" w:ascii="Times New Roman" w:hAnsi="Times New Roman" w:eastAsiaTheme="minorEastAsia"/>
          <w:color w:val="auto"/>
          <w:sz w:val="24"/>
          <w:lang w:val="en-US" w:eastAsia="zh-CN"/>
        </w:rPr>
        <w:t>注：排除掉小鼠样本</w:t>
      </w:r>
      <w:r>
        <w:rPr>
          <w:rFonts w:hint="default" w:ascii="Times New Roman" w:hAnsi="Times New Roman" w:eastAsiaTheme="minorEastAsia"/>
          <w:color w:val="auto"/>
          <w:sz w:val="24"/>
          <w:lang w:val="en-US" w:eastAsia="zh-CN"/>
        </w:rPr>
        <w:t>）</w:t>
      </w:r>
      <w:r>
        <w:rPr>
          <w:rFonts w:hint="default" w:ascii="Times New Roman" w:hAnsi="Times New Roman" w:eastAsiaTheme="minorEastAsia"/>
          <w:color w:val="auto"/>
          <w:sz w:val="24"/>
        </w:rPr>
        <w:t>；</w:t>
      </w:r>
      <w:r>
        <w:rPr>
          <w:rFonts w:hint="default" w:ascii="Times New Roman" w:hAnsi="Times New Roman" w:eastAsiaTheme="minorEastAsia"/>
          <w:color w:val="auto"/>
          <w:sz w:val="24"/>
        </w:rPr>
        <w:t>测序类型：</w:t>
      </w:r>
      <w:r>
        <w:rPr>
          <w:rFonts w:hint="default" w:ascii="Times New Roman" w:hAnsi="Times New Roman" w:eastAsiaTheme="minorEastAsia"/>
          <w:color w:val="auto"/>
          <w:sz w:val="24"/>
          <w:lang w:val="en-US" w:eastAsia="zh-CN"/>
        </w:rPr>
        <w:t>RNA-seq</w:t>
      </w:r>
      <w:r>
        <w:rPr>
          <w:rFonts w:hint="default" w:ascii="Times New Roman" w:hAnsi="Times New Roman" w:eastAsiaTheme="minorEastAsia"/>
          <w:color w:val="auto"/>
          <w:sz w:val="24"/>
        </w:rPr>
        <w:t>；</w:t>
      </w:r>
      <w:r>
        <w:rPr>
          <w:rFonts w:hint="default" w:ascii="Times New Roman" w:hAnsi="Times New Roman" w:eastAsiaTheme="minorEastAsia"/>
          <w:color w:val="auto"/>
          <w:sz w:val="24"/>
        </w:rPr>
        <w:t>用途：外部验证</w:t>
      </w:r>
      <w:r>
        <w:rPr>
          <w:rFonts w:hint="default" w:ascii="Times New Roman" w:hAnsi="Times New Roman" w:eastAsiaTheme="minorEastAsia"/>
          <w:color w:val="auto"/>
          <w:sz w:val="24"/>
          <w:lang w:eastAsia="zh-CN"/>
        </w:rPr>
        <w:t>【</w:t>
      </w:r>
      <w:r>
        <w:rPr>
          <w:rFonts w:hint="default" w:ascii="Times New Roman" w:hAnsi="Times New Roman" w:eastAsiaTheme="minorEastAsia"/>
          <w:color w:val="auto"/>
          <w:sz w:val="24"/>
        </w:rPr>
        <w:t>PMID：36918939</w:t>
      </w:r>
      <w:r>
        <w:rPr>
          <w:rFonts w:hint="default" w:ascii="Times New Roman" w:hAnsi="Times New Roman" w:eastAsiaTheme="minorEastAsia"/>
          <w:color w:val="auto"/>
          <w:sz w:val="24"/>
          <w:lang w:eastAsia="zh-CN"/>
        </w:rPr>
        <w:t>】</w:t>
      </w:r>
      <w:r>
        <w:rPr>
          <w:rFonts w:hint="default" w:ascii="Times New Roman" w:hAnsi="Times New Roman" w:eastAsiaTheme="minorEastAsia"/>
          <w:color w:val="auto"/>
          <w:sz w:val="24"/>
        </w:rPr>
        <w:t>。</w:t>
      </w:r>
    </w:p>
    <w:p>
      <w:pPr>
        <w:numPr>
          <w:ilvl w:val="0"/>
          <w:numId w:val="2"/>
        </w:numPr>
        <w:spacing w:line="360" w:lineRule="auto"/>
        <w:rPr>
          <w:rFonts w:hint="default" w:ascii="Times New Roman" w:hAnsi="Times New Roman" w:eastAsiaTheme="minorEastAsia"/>
          <w:color w:val="auto"/>
          <w:sz w:val="24"/>
        </w:rPr>
      </w:pPr>
      <w:r>
        <w:rPr>
          <w:rFonts w:hint="eastAsia" w:ascii="Times New Roman" w:hAnsi="Times New Roman" w:eastAsia="宋体" w:cs="Times New Roman"/>
          <w:b w:val="0"/>
          <w:bCs w:val="0"/>
          <w:color w:val="auto"/>
          <w:kern w:val="0"/>
          <w:sz w:val="24"/>
          <w:szCs w:val="21"/>
        </w:rPr>
        <w:t>线粒体生物发生基因集：</w:t>
      </w:r>
      <w:r>
        <w:rPr>
          <w:rFonts w:hint="eastAsia" w:ascii="Times New Roman" w:hAnsi="Times New Roman" w:eastAsia="宋体" w:cs="Times New Roman"/>
          <w:b w:val="0"/>
          <w:bCs w:val="0"/>
          <w:color w:val="auto"/>
          <w:kern w:val="0"/>
          <w:sz w:val="24"/>
          <w:szCs w:val="21"/>
        </w:rPr>
        <w:t>从Molecular Signatures Database (MSigDB) (</w:t>
      </w:r>
      <w:r>
        <w:rPr>
          <w:rFonts w:hint="eastAsia" w:ascii="Times New Roman" w:hAnsi="Times New Roman" w:eastAsia="宋体" w:cs="Times New Roman"/>
          <w:b w:val="0"/>
          <w:bCs w:val="0"/>
          <w:color w:val="auto"/>
          <w:kern w:val="0"/>
          <w:sz w:val="24"/>
          <w:szCs w:val="21"/>
          <w:lang w:eastAsia="zh-CN"/>
        </w:rPr>
        <w:t>GOBP_MITOCHONDRION_ORGANIZATION (GO:0007005) 基因集</w:t>
      </w:r>
      <w:r>
        <w:rPr>
          <w:rFonts w:hint="eastAsia" w:ascii="Times New Roman" w:hAnsi="Times New Roman" w:eastAsia="宋体" w:cs="Times New Roman"/>
          <w:b w:val="0"/>
          <w:bCs w:val="0"/>
          <w:color w:val="auto"/>
          <w:kern w:val="0"/>
          <w:sz w:val="24"/>
          <w:szCs w:val="21"/>
        </w:rPr>
        <w:t>)获取线粒体生物发生相关基因集合</w:t>
      </w:r>
      <w:r>
        <w:rPr>
          <w:rFonts w:hint="eastAsia" w:ascii="Times New Roman" w:hAnsi="Times New Roman" w:eastAsia="宋体" w:cs="Times New Roman"/>
          <w:b w:val="0"/>
          <w:bCs w:val="0"/>
          <w:color w:val="auto"/>
          <w:kern w:val="0"/>
          <w:sz w:val="24"/>
          <w:szCs w:val="21"/>
          <w:lang w:eastAsia="zh-CN"/>
        </w:rPr>
        <w:t xml:space="preserve">，该集合包含 </w:t>
      </w:r>
      <w:r>
        <w:rPr>
          <w:rFonts w:hint="eastAsia" w:ascii="Times New Roman" w:hAnsi="Times New Roman" w:eastAsia="宋体" w:cs="Times New Roman"/>
          <w:b w:val="0"/>
          <w:bCs w:val="0"/>
          <w:color w:val="auto"/>
          <w:kern w:val="0"/>
          <w:sz w:val="24"/>
          <w:szCs w:val="21"/>
          <w:lang w:val="en-US" w:eastAsia="zh-CN"/>
        </w:rPr>
        <w:t>421</w:t>
      </w:r>
      <w:r>
        <w:rPr>
          <w:rFonts w:hint="eastAsia" w:ascii="Times New Roman" w:hAnsi="Times New Roman" w:eastAsia="宋体" w:cs="Times New Roman"/>
          <w:b w:val="0"/>
          <w:bCs w:val="0"/>
          <w:color w:val="auto"/>
          <w:kern w:val="0"/>
          <w:sz w:val="24"/>
          <w:szCs w:val="21"/>
          <w:lang w:eastAsia="zh-CN"/>
        </w:rPr>
        <w:t xml:space="preserve"> 个与线粒体组装、结构重塑及生物发生密切相关的基因</w:t>
      </w:r>
      <w:r>
        <w:rPr>
          <w:rFonts w:hint="eastAsia" w:ascii="Times New Roman" w:hAnsi="Times New Roman" w:eastAsia="宋体" w:cs="Times New Roman"/>
          <w:b w:val="0"/>
          <w:bCs w:val="0"/>
          <w:color w:val="auto"/>
          <w:kern w:val="0"/>
          <w:sz w:val="24"/>
          <w:szCs w:val="21"/>
        </w:rPr>
        <w:t>。</w:t>
      </w:r>
    </w:p>
    <w:p>
      <w:pPr>
        <w:pStyle w:val="2"/>
        <w:ind w:firstLine="0" w:firstLineChars="0"/>
        <w:rPr>
          <w:rFonts w:hint="default" w:ascii="Times New Roman" w:hAnsi="Times New Roman" w:eastAsiaTheme="minorEastAsia"/>
          <w:color w:val="auto"/>
        </w:rPr>
      </w:pPr>
      <w:r>
        <w:rPr>
          <w:rFonts w:hint="eastAsia" w:ascii="Times New Roman" w:hAnsi="Times New Roman" w:eastAsiaTheme="minorEastAsia"/>
          <w:color w:val="auto"/>
          <w:lang w:val="en-US" w:eastAsia="zh-CN"/>
        </w:rPr>
        <w:t>二、</w:t>
      </w:r>
      <w:r>
        <w:rPr>
          <w:rFonts w:hint="default" w:ascii="Times New Roman" w:hAnsi="Times New Roman" w:eastAsiaTheme="minorEastAsia"/>
          <w:color w:val="auto"/>
        </w:rPr>
        <w:t>DEGs的获取</w:t>
      </w:r>
      <w:r>
        <w:rPr>
          <w:rFonts w:hint="default" w:ascii="Times New Roman" w:hAnsi="Times New Roman" w:eastAsiaTheme="minorEastAsia"/>
          <w:color w:val="auto"/>
        </w:rPr>
        <w:t>[在训练集中进行]</w:t>
      </w:r>
      <w:r>
        <w:rPr>
          <w:rFonts w:hint="default" w:ascii="Times New Roman" w:hAnsi="Times New Roman" w:eastAsiaTheme="minorEastAsia"/>
          <w:color w:val="auto"/>
          <w:vertAlign w:val="superscript"/>
        </w:rPr>
        <w:t xml:space="preserve"> </w:t>
      </w:r>
      <w:r>
        <w:rPr>
          <w:rFonts w:hint="default" w:ascii="Times New Roman" w:hAnsi="Times New Roman" w:eastAsiaTheme="minorEastAsia"/>
          <w:color w:val="auto"/>
          <w:vertAlign w:val="superscript"/>
        </w:rPr>
        <w:t>PMID： 34820373</w:t>
      </w:r>
    </w:p>
    <w:p>
      <w:pPr>
        <w:numPr>
          <w:ilvl w:val="0"/>
          <w:numId w:val="0"/>
        </w:numPr>
        <w:spacing w:line="360" w:lineRule="auto"/>
        <w:ind w:firstLine="480" w:firstLineChars="200"/>
        <w:rPr>
          <w:rFonts w:hint="default" w:ascii="Times New Roman" w:hAnsi="Times New Roman" w:eastAsiaTheme="minorEastAsia"/>
          <w:color w:val="auto"/>
          <w:sz w:val="24"/>
          <w:lang w:val="en-US" w:eastAsia="zh-CN"/>
        </w:rPr>
      </w:pPr>
      <w:r>
        <w:rPr>
          <w:rFonts w:hint="default" w:ascii="Times New Roman" w:hAnsi="Times New Roman" w:eastAsiaTheme="minorEastAsia"/>
          <w:color w:val="auto"/>
          <w:sz w:val="24"/>
          <w:lang w:val="en-US" w:eastAsia="zh-CN"/>
        </w:rPr>
        <w:t>为了获取PRAD的DEGs（癌vs癌旁），使用R包“DESeq2”对训练集中癌和癌旁组织样本进行差异分析得到DEGs，阈值设定为|log2FC|&gt;1和adj.P.Value&lt;0.05</w:t>
      </w:r>
      <w:r>
        <w:rPr>
          <w:rFonts w:hint="default" w:ascii="Times New Roman" w:hAnsi="Times New Roman" w:eastAsiaTheme="minorEastAsia"/>
          <w:color w:val="auto"/>
          <w:sz w:val="24"/>
          <w:lang w:val="en-US" w:eastAsia="zh-CN"/>
        </w:rPr>
        <w:t>【注：筛选结果不好时，可适当调整阈值，最低阈值P&lt;0.05和|log2FC|&gt;0.5】</w:t>
      </w:r>
      <w:r>
        <w:rPr>
          <w:rFonts w:hint="default" w:ascii="Times New Roman" w:hAnsi="Times New Roman" w:eastAsiaTheme="minorEastAsia"/>
          <w:color w:val="auto"/>
          <w:sz w:val="24"/>
          <w:lang w:val="en-US" w:eastAsia="zh-CN"/>
        </w:rPr>
        <w:t>使用R包“ggplot2”和“pheatmap”绘制火山图和热图（Fig.1）</w:t>
      </w:r>
    </w:p>
    <w:p>
      <w:pPr>
        <w:spacing w:line="360" w:lineRule="auto"/>
        <w:jc w:val="center"/>
        <w:rPr>
          <w:rFonts w:hint="default" w:ascii="Times New Roman" w:hAnsi="Times New Roman" w:cs="Times New Roman" w:eastAsiaTheme="minorEastAsia"/>
          <w:color w:val="auto"/>
          <w:sz w:val="24"/>
        </w:rPr>
      </w:pPr>
    </w:p>
    <w:p>
      <w:pPr>
        <w:spacing w:line="360" w:lineRule="auto"/>
        <w:jc w:val="center"/>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Cs w:val="21"/>
        </w:rPr>
        <w:t>Fig.1 DEGs的火山图和热图样图</w:t>
      </w:r>
    </w:p>
    <w:p>
      <w:pPr>
        <w:pStyle w:val="2"/>
        <w:ind w:firstLine="0" w:firstLineChars="0"/>
        <w:rPr>
          <w:rFonts w:hint="default" w:ascii="Times New Roman" w:hAnsi="Times New Roman" w:eastAsiaTheme="minorEastAsia"/>
          <w:color w:val="auto"/>
        </w:rPr>
      </w:pPr>
      <w:r>
        <w:rPr>
          <w:rFonts w:hint="eastAsia" w:ascii="Times New Roman" w:hAnsi="Times New Roman" w:eastAsiaTheme="minorEastAsia"/>
          <w:color w:val="auto"/>
          <w:lang w:val="en-US" w:eastAsia="zh-CN"/>
        </w:rPr>
        <w:t>三、</w:t>
      </w:r>
      <w:r>
        <w:rPr>
          <w:rFonts w:hint="default" w:ascii="Times New Roman" w:hAnsi="Times New Roman" w:eastAsiaTheme="minorEastAsia"/>
          <w:color w:val="auto"/>
        </w:rPr>
        <w:t>候选基因的获取PMID： 35078458</w:t>
      </w:r>
    </w:p>
    <w:p>
      <w:pPr>
        <w:numPr>
          <w:ilvl w:val="0"/>
          <w:numId w:val="0"/>
        </w:numPr>
        <w:spacing w:line="360" w:lineRule="auto"/>
        <w:ind w:firstLine="480" w:firstLineChars="200"/>
        <w:rPr>
          <w:rFonts w:hint="default" w:ascii="Times New Roman" w:hAnsi="Times New Roman" w:eastAsiaTheme="minorEastAsia"/>
          <w:color w:val="auto"/>
          <w:sz w:val="24"/>
          <w:lang w:val="en-US" w:eastAsia="zh-CN"/>
        </w:rPr>
      </w:pPr>
      <w:r>
        <w:rPr>
          <w:rFonts w:hint="default" w:ascii="Times New Roman" w:hAnsi="Times New Roman" w:eastAsiaTheme="minorEastAsia"/>
          <w:color w:val="auto"/>
          <w:sz w:val="24"/>
          <w:lang w:val="en-US" w:eastAsia="zh-CN"/>
        </w:rPr>
        <w:t>为了获得既与DEGs相关又与模式识别受体基因相关的基因，使用“Venn Diagram”包对DEGs和</w:t>
      </w:r>
      <w:r>
        <w:rPr>
          <w:rFonts w:hint="eastAsia" w:ascii="Times New Roman" w:hAnsi="Times New Roman" w:eastAsia="宋体" w:cs="Times New Roman"/>
          <w:b w:val="0"/>
          <w:bCs w:val="0"/>
          <w:color w:val="auto"/>
          <w:kern w:val="0"/>
          <w:sz w:val="24"/>
          <w:szCs w:val="21"/>
        </w:rPr>
        <w:t>线粒体生物发生基因集</w:t>
      </w:r>
      <w:r>
        <w:rPr>
          <w:rFonts w:hint="default" w:ascii="Times New Roman" w:hAnsi="Times New Roman" w:eastAsiaTheme="minorEastAsia"/>
          <w:color w:val="auto"/>
          <w:sz w:val="24"/>
          <w:lang w:val="en-US" w:eastAsia="zh-CN"/>
        </w:rPr>
        <w:t>相关基因构建Venn图，取交集得到候选基因。使用Venn图展示候选基因数量及其百分比（Fig.2）。</w:t>
      </w:r>
    </w:p>
    <w:p>
      <w:pPr>
        <w:spacing w:line="360" w:lineRule="auto"/>
        <w:jc w:val="center"/>
        <w:rPr>
          <w:rFonts w:hint="default" w:ascii="Times New Roman" w:hAnsi="Times New Roman" w:cs="Times New Roman" w:eastAsiaTheme="minorEastAsia"/>
          <w:color w:val="auto"/>
          <w:sz w:val="24"/>
        </w:rPr>
      </w:pPr>
    </w:p>
    <w:p>
      <w:pPr>
        <w:numPr>
          <w:ilvl w:val="0"/>
          <w:numId w:val="0"/>
        </w:numPr>
        <w:spacing w:line="360" w:lineRule="auto"/>
        <w:ind w:firstLine="480"/>
        <w:jc w:val="center"/>
        <w:rPr>
          <w:rFonts w:hint="default" w:ascii="Times New Roman" w:hAnsi="Times New Roman" w:cs="Times New Roman" w:eastAsiaTheme="minorEastAsia"/>
          <w:color w:val="auto"/>
          <w:szCs w:val="21"/>
        </w:rPr>
      </w:pPr>
    </w:p>
    <w:p>
      <w:pPr>
        <w:numPr>
          <w:ilvl w:val="0"/>
          <w:numId w:val="0"/>
        </w:numPr>
        <w:spacing w:line="360" w:lineRule="auto"/>
        <w:ind w:firstLine="48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Fig.2 Venn图展示候选基因</w:t>
      </w:r>
    </w:p>
    <w:p>
      <w:pPr>
        <w:pStyle w:val="2"/>
        <w:ind w:firstLine="0" w:firstLineChars="0"/>
        <w:rPr>
          <w:rFonts w:hint="default" w:ascii="Times New Roman" w:hAnsi="Times New Roman" w:eastAsiaTheme="minorEastAsia"/>
          <w:color w:val="auto"/>
        </w:rPr>
      </w:pPr>
      <w:r>
        <w:rPr>
          <w:rFonts w:hint="eastAsia" w:ascii="Times New Roman" w:hAnsi="Times New Roman" w:eastAsiaTheme="minorEastAsia"/>
          <w:color w:val="auto"/>
          <w:lang w:val="en-US" w:eastAsia="zh-CN"/>
        </w:rPr>
        <w:t>四、</w:t>
      </w:r>
      <w:r>
        <w:rPr>
          <w:rFonts w:hint="default" w:ascii="Times New Roman" w:hAnsi="Times New Roman" w:eastAsiaTheme="minorEastAsia"/>
          <w:color w:val="auto"/>
        </w:rPr>
        <w:t>GO和KEGG富集分析和PPI蛋白互作网络的构建</w:t>
      </w:r>
      <w:r>
        <w:rPr>
          <w:rFonts w:hint="default" w:ascii="Times New Roman" w:hAnsi="Times New Roman" w:eastAsiaTheme="minorEastAsia"/>
          <w:color w:val="auto"/>
          <w:vertAlign w:val="superscript"/>
        </w:rPr>
        <w:t>PMID： 38409471</w:t>
      </w:r>
    </w:p>
    <w:p>
      <w:pPr>
        <w:numPr>
          <w:ilvl w:val="0"/>
          <w:numId w:val="0"/>
        </w:numPr>
        <w:spacing w:line="360" w:lineRule="auto"/>
        <w:ind w:firstLine="480" w:firstLineChars="200"/>
        <w:rPr>
          <w:rFonts w:hint="default" w:ascii="Times New Roman" w:hAnsi="Times New Roman" w:eastAsiaTheme="minorEastAsia"/>
          <w:color w:val="auto"/>
          <w:sz w:val="24"/>
          <w:lang w:val="en-US" w:eastAsia="zh-CN"/>
        </w:rPr>
      </w:pPr>
      <w:r>
        <w:rPr>
          <w:rFonts w:hint="default" w:ascii="Times New Roman" w:hAnsi="Times New Roman" w:eastAsiaTheme="minorEastAsia"/>
          <w:color w:val="auto"/>
          <w:sz w:val="24"/>
          <w:lang w:val="en-US" w:eastAsia="zh-CN"/>
        </w:rPr>
        <w:t>为了确定候选基因的潜在功能和途径，使用R包“clusterProfiler”对候选基因进行GO和KEGG富集分析，GO分析通常从生物过程（Biological PROCess，BP）、细胞成分（Cellular Components，CC）、分子功能（Molecular Function，MF）三个层面对候选基因进行描述用于分析候选基因在疾病中的潜在功能和通路途径。根据阈值adj.P&lt;0.05的标准确定结果的显著性。展示GO富集结果和KEGG富集结果，可选择弦图或气泡图进行展示（Fig. 3a）。</w:t>
      </w:r>
    </w:p>
    <w:p>
      <w:pPr>
        <w:numPr>
          <w:ilvl w:val="0"/>
          <w:numId w:val="0"/>
        </w:numPr>
        <w:spacing w:line="360" w:lineRule="auto"/>
        <w:ind w:firstLine="480" w:firstLineChars="200"/>
        <w:rPr>
          <w:rFonts w:hint="default" w:ascii="Times New Roman" w:hAnsi="Times New Roman" w:eastAsiaTheme="minorEastAsia"/>
          <w:color w:val="auto"/>
          <w:sz w:val="24"/>
          <w:lang w:val="en-US" w:eastAsia="zh-CN"/>
        </w:rPr>
      </w:pPr>
    </w:p>
    <w:p>
      <w:pPr>
        <w:numPr>
          <w:ilvl w:val="0"/>
          <w:numId w:val="0"/>
        </w:numPr>
        <w:spacing w:line="360" w:lineRule="auto"/>
        <w:ind w:firstLine="480" w:firstLineChars="200"/>
        <w:rPr>
          <w:rFonts w:hint="default" w:ascii="Times New Roman" w:hAnsi="Times New Roman" w:eastAsiaTheme="minorEastAsia"/>
          <w:color w:val="auto"/>
          <w:sz w:val="24"/>
          <w:lang w:val="en-US" w:eastAsia="zh-CN"/>
        </w:rPr>
      </w:pPr>
    </w:p>
    <w:p>
      <w:pPr>
        <w:numPr>
          <w:ilvl w:val="-1"/>
          <w:numId w:val="0"/>
        </w:numPr>
        <w:spacing w:line="360" w:lineRule="auto"/>
        <w:ind w:firstLine="480" w:firstLineChars="0"/>
        <w:jc w:val="center"/>
        <w:rPr>
          <w:rFonts w:hint="default" w:ascii="Times New Roman" w:hAnsi="Times New Roman" w:eastAsiaTheme="minorEastAsia"/>
          <w:color w:val="auto"/>
          <w:sz w:val="21"/>
          <w:szCs w:val="21"/>
          <w:lang w:val="en-US" w:eastAsia="zh-CN"/>
        </w:rPr>
      </w:pPr>
      <w:r>
        <w:rPr>
          <w:rFonts w:hint="default" w:ascii="Times New Roman" w:hAnsi="Times New Roman" w:eastAsiaTheme="minorEastAsia"/>
          <w:color w:val="auto"/>
          <w:sz w:val="21"/>
          <w:szCs w:val="21"/>
          <w:lang w:val="en-US" w:eastAsia="zh-CN"/>
        </w:rPr>
        <w:t>Fig. 3a （左）GO富集弦图；（右）KEGG富集气泡图</w:t>
      </w:r>
    </w:p>
    <w:p>
      <w:pPr>
        <w:numPr>
          <w:ilvl w:val="0"/>
          <w:numId w:val="0"/>
        </w:numPr>
        <w:spacing w:line="360" w:lineRule="auto"/>
        <w:ind w:firstLine="480" w:firstLineChars="200"/>
        <w:rPr>
          <w:rFonts w:hint="default" w:ascii="Times New Roman" w:hAnsi="Times New Roman" w:eastAsiaTheme="minorEastAsia"/>
          <w:color w:val="auto"/>
          <w:sz w:val="24"/>
          <w:lang w:val="en-US" w:eastAsia="zh-CN"/>
        </w:rPr>
      </w:pPr>
      <w:r>
        <w:rPr>
          <w:rFonts w:hint="default" w:ascii="Times New Roman" w:hAnsi="Times New Roman" w:eastAsiaTheme="minorEastAsia"/>
          <w:color w:val="auto"/>
          <w:sz w:val="24"/>
          <w:lang w:val="en-US" w:eastAsia="zh-CN"/>
        </w:rPr>
        <w:t>为了揭示候选基因编码蛋白之间的复杂相互作用关系，以理解它们在生物过程和疾病中的功能和调控机制。使用在线平台STRING（www.string-db.org）对候选基因构建PPI蛋白互作网络，设置interaction score大于0.4，阈值范围为0.15-0.9。使用Cytoscape进行可视化，展示PPI蛋白互作网络结果（Fig. 3b）。【</w:t>
      </w:r>
      <w:r>
        <w:rPr>
          <w:rFonts w:hint="default" w:ascii="Times New Roman" w:hAnsi="Times New Roman" w:eastAsiaTheme="minorEastAsia"/>
          <w:color w:val="auto"/>
          <w:sz w:val="24"/>
          <w:lang w:val="en-US" w:eastAsia="zh-CN"/>
        </w:rPr>
        <w:t>注：阈值可根据分析情况调整，最低阈值为0.15，最高阈值为0.9，此步不做基因筛选</w:t>
      </w:r>
      <w:r>
        <w:rPr>
          <w:rFonts w:hint="default" w:ascii="Times New Roman" w:hAnsi="Times New Roman" w:eastAsiaTheme="minorEastAsia"/>
          <w:color w:val="auto"/>
          <w:sz w:val="24"/>
          <w:lang w:val="en-US" w:eastAsia="zh-CN"/>
        </w:rPr>
        <w:t>】</w:t>
      </w:r>
    </w:p>
    <w:p>
      <w:pPr>
        <w:spacing w:line="360" w:lineRule="auto"/>
        <w:ind w:firstLine="480"/>
        <w:jc w:val="center"/>
        <w:rPr>
          <w:rFonts w:hint="default" w:ascii="Times New Roman" w:hAnsi="Times New Roman" w:cs="Times New Roman" w:eastAsiaTheme="minorEastAsia"/>
          <w:color w:val="auto"/>
          <w:sz w:val="24"/>
        </w:rPr>
      </w:pPr>
    </w:p>
    <w:p>
      <w:pPr>
        <w:spacing w:line="360" w:lineRule="auto"/>
        <w:ind w:firstLine="48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Fig. 3b PPI蛋白互作网络</w:t>
      </w:r>
    </w:p>
    <w:p>
      <w:pPr>
        <w:pStyle w:val="2"/>
        <w:ind w:firstLine="0" w:firstLineChars="0"/>
        <w:rPr>
          <w:rFonts w:hint="default" w:ascii="Times New Roman" w:hAnsi="Times New Roman" w:eastAsiaTheme="minorEastAsia"/>
          <w:b w:val="0"/>
          <w:bCs w:val="0"/>
          <w:color w:val="auto"/>
        </w:rPr>
      </w:pPr>
      <w:r>
        <w:rPr>
          <w:rFonts w:hint="eastAsia" w:ascii="Times New Roman" w:hAnsi="Times New Roman" w:eastAsiaTheme="minorEastAsia"/>
          <w:color w:val="auto"/>
          <w:lang w:val="en-US" w:eastAsia="zh-CN"/>
        </w:rPr>
        <w:t>五、</w:t>
      </w:r>
      <w:r>
        <w:rPr>
          <w:rFonts w:hint="default" w:ascii="Times New Roman" w:hAnsi="Times New Roman" w:eastAsiaTheme="minorEastAsia"/>
          <w:color w:val="auto"/>
        </w:rPr>
        <w:t>Cox单因素回归分析</w:t>
      </w:r>
      <w:r>
        <w:rPr>
          <w:rFonts w:hint="default" w:ascii="Times New Roman" w:hAnsi="Times New Roman" w:eastAsiaTheme="minorEastAsia"/>
          <w:color w:val="auto"/>
        </w:rPr>
        <w:t>[在训练集中进行]</w:t>
      </w:r>
      <w:r>
        <w:rPr>
          <w:rFonts w:hint="default" w:ascii="Times New Roman" w:hAnsi="Times New Roman" w:eastAsiaTheme="minorEastAsia"/>
          <w:color w:val="auto"/>
        </w:rPr>
        <w:t xml:space="preserve"> </w:t>
      </w:r>
      <w:r>
        <w:rPr>
          <w:rFonts w:hint="default" w:ascii="Times New Roman" w:hAnsi="Times New Roman" w:eastAsiaTheme="minorEastAsia"/>
          <w:color w:val="auto"/>
          <w:vertAlign w:val="superscript"/>
        </w:rPr>
        <w:t xml:space="preserve">PMID: </w:t>
      </w:r>
      <w:r>
        <w:rPr>
          <w:rFonts w:hint="default" w:ascii="Times New Roman" w:hAnsi="Times New Roman" w:eastAsiaTheme="minorEastAsia"/>
          <w:color w:val="auto"/>
          <w:vertAlign w:val="superscript"/>
        </w:rPr>
        <w:t>38200058</w:t>
      </w:r>
    </w:p>
    <w:p>
      <w:pPr>
        <w:numPr>
          <w:ilvl w:val="0"/>
          <w:numId w:val="0"/>
        </w:numPr>
        <w:spacing w:line="360" w:lineRule="auto"/>
        <w:ind w:firstLine="480" w:firstLineChars="200"/>
        <w:rPr>
          <w:rFonts w:hint="default" w:ascii="Times New Roman" w:hAnsi="Times New Roman" w:eastAsiaTheme="minorEastAsia"/>
          <w:color w:val="auto"/>
          <w:sz w:val="24"/>
          <w:lang w:val="en-US" w:eastAsia="zh-CN"/>
        </w:rPr>
      </w:pPr>
      <w:r>
        <w:rPr>
          <w:rFonts w:hint="default" w:ascii="Times New Roman" w:hAnsi="Times New Roman" w:eastAsiaTheme="minorEastAsia"/>
          <w:color w:val="auto"/>
          <w:sz w:val="24"/>
          <w:lang w:val="en-US" w:eastAsia="zh-CN"/>
        </w:rPr>
        <w:t>Cox回归分析适用于生存分析和时间到事件数据分析。Cox 回归分析的主要特点如下：①比例风险模型：Cox 回归模型假设不同个体的风险比是恒定的，即比例风险假设。这个模型不需要假设基线风险函数的具体形式。②处理多变量：Cox 回归可以同时处理多个变量，评估每个变量对生存时间的独立影响。③估计风险比：通过 Cox 回归分析，可以估计每个变量的风险比（Hazard Ratio, HR），即某个变量增加一个单位时，事件发生的风险增加或减少的倍数。④处理删失数据：Cox 回归能够处理删失数据（censored data），即在研究期间未发生事件的个体数据。Cox 回归分析在医学研究中广泛应用，特别是用于评估治疗效果、预后因素和风险因素对患者生存时间的影响。为了获得对PRAD预后有显著影响的基因，在训练集中使用携带生存信息的PRAD样本使用R包“survival”对候选基因进行单因素Cox回归分析（p&lt;0.05，HR≠1）（Fig.4a），然后使用R包中“cox.zph”函数对单因素Cox分析的结果进行PH假定检验（p&gt;0.05）（需要出PH检验的表格或图），剔除假阳性基因（Fig.4b）。</w:t>
      </w:r>
    </w:p>
    <w:p>
      <w:pPr>
        <w:spacing w:line="360" w:lineRule="auto"/>
        <w:jc w:val="center"/>
        <w:rPr>
          <w:rFonts w:hint="default" w:ascii="Times New Roman" w:hAnsi="Times New Roman" w:cs="Times New Roman" w:eastAsiaTheme="minorEastAsia"/>
          <w:color w:val="auto"/>
          <w:sz w:val="24"/>
        </w:rPr>
      </w:pPr>
    </w:p>
    <w:p>
      <w:pPr>
        <w:spacing w:line="360" w:lineRule="auto"/>
        <w:ind w:firstLine="480"/>
        <w:jc w:val="center"/>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Cs w:val="21"/>
        </w:rPr>
        <w:t>Fig.4a 候选基因Cox单因素回归分析样图</w:t>
      </w:r>
    </w:p>
    <w:p>
      <w:pPr>
        <w:spacing w:line="360" w:lineRule="auto"/>
        <w:ind w:firstLine="480"/>
        <w:jc w:val="center"/>
        <w:rPr>
          <w:rFonts w:hint="default" w:ascii="Times New Roman" w:hAnsi="Times New Roman" w:cs="Times New Roman" w:eastAsiaTheme="minorEastAsia"/>
          <w:color w:val="auto"/>
          <w:sz w:val="24"/>
        </w:rPr>
      </w:pPr>
    </w:p>
    <w:p>
      <w:pPr>
        <w:spacing w:line="360" w:lineRule="auto"/>
        <w:ind w:firstLine="480"/>
        <w:jc w:val="center"/>
        <w:rPr>
          <w:rFonts w:hint="default" w:ascii="Times New Roman" w:hAnsi="Times New Roman" w:cs="Times New Roman" w:eastAsiaTheme="minorEastAsia"/>
          <w:color w:val="auto"/>
          <w:szCs w:val="21"/>
        </w:rPr>
      </w:pPr>
      <w:r>
        <w:rPr>
          <w:rFonts w:hint="default" w:ascii="Times New Roman" w:hAnsi="Times New Roman" w:cs="Times New Roman" w:eastAsiaTheme="minorEastAsia"/>
          <w:color w:val="auto"/>
          <w:szCs w:val="21"/>
        </w:rPr>
        <w:t>Fig. 4b PH假定</w:t>
      </w:r>
      <w:r>
        <w:rPr>
          <w:rFonts w:hint="default" w:ascii="Times New Roman" w:hAnsi="Times New Roman" w:cs="Times New Roman" w:eastAsiaTheme="minorEastAsia"/>
          <w:color w:val="auto"/>
          <w:spacing w:val="0"/>
          <w:szCs w:val="21"/>
        </w:rPr>
        <w:t>检验样图</w:t>
      </w:r>
    </w:p>
    <w:p>
      <w:pPr>
        <w:pStyle w:val="2"/>
        <w:ind w:firstLine="0" w:firstLineChars="0"/>
        <w:rPr>
          <w:rFonts w:hint="default" w:ascii="Times New Roman" w:hAnsi="Times New Roman" w:eastAsiaTheme="minorEastAsia"/>
          <w:color w:val="auto"/>
        </w:rPr>
      </w:pPr>
      <w:r>
        <w:rPr>
          <w:rFonts w:hint="eastAsia" w:ascii="Times New Roman" w:hAnsi="Times New Roman" w:eastAsiaTheme="minorEastAsia"/>
          <w:color w:val="auto"/>
          <w:lang w:val="en-US" w:eastAsia="zh-CN"/>
        </w:rPr>
        <w:t>六、</w:t>
      </w:r>
      <w:r>
        <w:rPr>
          <w:rFonts w:hint="default" w:ascii="Times New Roman" w:hAnsi="Times New Roman" w:eastAsiaTheme="minorEastAsia"/>
          <w:color w:val="auto"/>
        </w:rPr>
        <w:t>LASSO回归分析</w:t>
      </w:r>
      <w:r>
        <w:rPr>
          <w:rFonts w:hint="default" w:ascii="Times New Roman" w:hAnsi="Times New Roman" w:eastAsiaTheme="minorEastAsia"/>
          <w:color w:val="auto"/>
          <w:vertAlign w:val="superscript"/>
        </w:rPr>
        <w:t>PMID：37942473</w:t>
      </w:r>
    </w:p>
    <w:p>
      <w:pPr>
        <w:numPr>
          <w:ilvl w:val="0"/>
          <w:numId w:val="0"/>
        </w:numPr>
        <w:spacing w:line="360" w:lineRule="auto"/>
        <w:ind w:firstLine="480" w:firstLineChars="200"/>
        <w:rPr>
          <w:rFonts w:hint="default" w:ascii="Times New Roman" w:hAnsi="Times New Roman" w:eastAsiaTheme="minorEastAsia"/>
          <w:color w:val="auto"/>
          <w:sz w:val="24"/>
          <w:lang w:val="en-US" w:eastAsia="zh-CN"/>
        </w:rPr>
      </w:pPr>
      <w:r>
        <w:rPr>
          <w:rFonts w:hint="default" w:ascii="Times New Roman" w:hAnsi="Times New Roman" w:eastAsiaTheme="minorEastAsia"/>
          <w:color w:val="auto"/>
          <w:sz w:val="24"/>
          <w:lang w:val="en-US" w:eastAsia="zh-CN"/>
        </w:rPr>
        <w:t>LASSO回归是一种线性回归方法，通过L1正则化，可以自动选择出对疾病诊断最重要的特征。这在处理高维数据时尤为重要，因为它能够从大量的潜在特征中筛选出少数关键特征，从而简化模型。在医学数据中，特征之间往往存在多重共线性。LASSO回归能够通过压缩不重要特征的系数为零，从而解决多重共线性问题，提高模型的稳定性和解释性。LASSO回归不仅适用于数值变量，还适用于生存资料、二分类和多分类变量等多种类型的因变量，这使得它在各种疾病诊断和预测模型中都有广泛的应用。使用R包“glmnet”对上述满足Cox单因素回归分析的基因进行分析，选择10倍交叉验证，最小lambda为最优值,基线不归0的基因，得到预后基因及其对应系数，展示LASSO回归分析结果样图（Fig.5）。</w:t>
      </w:r>
    </w:p>
    <w:p>
      <w:pPr>
        <w:spacing w:line="360" w:lineRule="auto"/>
        <w:rPr>
          <w:rFonts w:hint="default" w:ascii="Times New Roman" w:hAnsi="Times New Roman" w:cs="Times New Roman" w:eastAsiaTheme="minorEastAsia"/>
          <w:color w:val="auto"/>
          <w:sz w:val="24"/>
        </w:rPr>
      </w:pPr>
    </w:p>
    <w:p>
      <w:pPr>
        <w:spacing w:line="360" w:lineRule="auto"/>
        <w:ind w:firstLine="480"/>
        <w:jc w:val="center"/>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Cs w:val="21"/>
        </w:rPr>
        <w:t>Fig.5 LASSO回归分析结果展示样图。A、LASSO回归系数；B、10</w:t>
      </w:r>
      <w:r>
        <w:rPr>
          <w:rFonts w:hint="default" w:ascii="Times New Roman" w:hAnsi="Times New Roman" w:cs="Times New Roman" w:eastAsiaTheme="minorEastAsia"/>
          <w:color w:val="auto"/>
          <w:szCs w:val="21"/>
          <w:lang w:val="en-US" w:eastAsia="zh-CN"/>
        </w:rPr>
        <w:t>倍</w:t>
      </w:r>
      <w:r>
        <w:rPr>
          <w:rFonts w:hint="default" w:ascii="Times New Roman" w:hAnsi="Times New Roman" w:cs="Times New Roman" w:eastAsiaTheme="minorEastAsia"/>
          <w:color w:val="auto"/>
          <w:szCs w:val="21"/>
        </w:rPr>
        <w:t>交叉验证图；C、预后基因的系数图</w:t>
      </w:r>
    </w:p>
    <w:p>
      <w:pPr>
        <w:pStyle w:val="2"/>
        <w:ind w:firstLine="0" w:firstLineChars="0"/>
        <w:rPr>
          <w:rFonts w:hint="default" w:ascii="Times New Roman" w:hAnsi="Times New Roman" w:cs="Times New Roman" w:eastAsiaTheme="minorEastAsia"/>
          <w:i w:val="0"/>
          <w:iCs w:val="0"/>
          <w:caps w:val="0"/>
          <w:color w:val="auto"/>
          <w:spacing w:val="0"/>
          <w:sz w:val="24"/>
          <w:szCs w:val="24"/>
          <w:shd w:val="clear" w:fill="FFFFFF"/>
        </w:rPr>
      </w:pPr>
      <w:r>
        <w:rPr>
          <w:rFonts w:hint="eastAsia" w:ascii="Times New Roman" w:hAnsi="Times New Roman" w:eastAsiaTheme="minorEastAsia"/>
          <w:color w:val="auto"/>
          <w:lang w:val="en-US" w:eastAsia="zh-CN"/>
        </w:rPr>
        <w:t>七、</w:t>
      </w:r>
      <w:r>
        <w:rPr>
          <w:rFonts w:hint="default" w:ascii="Times New Roman" w:hAnsi="Times New Roman" w:eastAsiaTheme="minorEastAsia"/>
          <w:color w:val="auto"/>
        </w:rPr>
        <w:t>多因素COX回归分析与逐步回归</w:t>
      </w:r>
      <w:r>
        <w:rPr>
          <w:rFonts w:hint="default" w:ascii="Times New Roman" w:hAnsi="Times New Roman" w:eastAsiaTheme="minorEastAsia"/>
          <w:color w:val="auto"/>
          <w:vertAlign w:val="superscript"/>
        </w:rPr>
        <w:t>PMID：40226611</w:t>
      </w:r>
    </w:p>
    <w:p>
      <w:pPr>
        <w:numPr>
          <w:ilvl w:val="0"/>
          <w:numId w:val="0"/>
        </w:numPr>
        <w:spacing w:line="360" w:lineRule="auto"/>
        <w:ind w:firstLine="480" w:firstLineChars="200"/>
        <w:jc w:val="left"/>
        <w:rPr>
          <w:color w:val="auto"/>
          <w:sz w:val="24"/>
        </w:rPr>
      </w:pPr>
      <w:r>
        <w:rPr>
          <w:rFonts w:hint="default" w:ascii="Times New Roman" w:hAnsi="Times New Roman" w:cs="Times New Roman" w:eastAsiaTheme="minorEastAsia"/>
          <w:i w:val="0"/>
          <w:iCs w:val="0"/>
          <w:caps w:val="0"/>
          <w:color w:val="auto"/>
          <w:spacing w:val="0"/>
          <w:sz w:val="24"/>
          <w:szCs w:val="24"/>
          <w:shd w:val="clear" w:fill="FFFFFF"/>
        </w:rPr>
        <w:t>多因素COX回归和逐步回归是生存分析中一个实用的策略组合。多因素Cox回归用于分析多个因素对生存时间的影响，而逐步回归则是在此基础上，为解决因变量过多而设计的自动变量筛选方法，旨在找出对生存结局影响最关键的核心因素</w:t>
      </w:r>
      <w:r>
        <w:rPr>
          <w:rFonts w:hint="default" w:ascii="Times New Roman" w:hAnsi="Times New Roman" w:cs="Times New Roman" w:eastAsiaTheme="minorEastAsia"/>
          <w:i w:val="0"/>
          <w:iCs w:val="0"/>
          <w:caps w:val="0"/>
          <w:color w:val="auto"/>
          <w:spacing w:val="0"/>
          <w:sz w:val="24"/>
          <w:szCs w:val="24"/>
          <w:shd w:val="clear" w:fill="FFFFFF"/>
          <w:lang w:eastAsia="zh-CN"/>
        </w:rPr>
        <w:t>。</w:t>
      </w:r>
      <w:r>
        <w:rPr>
          <w:rFonts w:hint="default" w:ascii="Times New Roman" w:hAnsi="Times New Roman" w:cs="Times New Roman" w:eastAsiaTheme="minorEastAsia"/>
          <w:i w:val="0"/>
          <w:iCs w:val="0"/>
          <w:caps w:val="0"/>
          <w:color w:val="auto"/>
          <w:spacing w:val="0"/>
          <w:sz w:val="24"/>
          <w:szCs w:val="24"/>
          <w:shd w:val="clear" w:fill="FFFFFF"/>
          <w:lang w:val="en-US" w:eastAsia="zh-CN"/>
        </w:rPr>
        <w:t>逐</w:t>
      </w:r>
      <w:r>
        <w:rPr>
          <w:rFonts w:hint="default" w:ascii="Times New Roman" w:hAnsi="Times New Roman" w:cs="Times New Roman" w:eastAsiaTheme="minorEastAsia"/>
          <w:i w:val="0"/>
          <w:iCs w:val="0"/>
          <w:caps w:val="0"/>
          <w:color w:val="auto"/>
          <w:spacing w:val="0"/>
          <w:sz w:val="24"/>
          <w:szCs w:val="24"/>
          <w:shd w:val="clear" w:fill="FFFFFF"/>
          <w:lang w:eastAsia="zh-CN"/>
        </w:rPr>
        <w:t>步回归是一种在回归分析中用于筛选变量的过程，旨在从一组候选变量中构建最优的预测模型。它通过逐步添加和删除变量来优化模型的预测能力，从而确保最终模型包含对因变量有显著影响的变量，并排除不显著的变量。</w:t>
      </w:r>
      <w:r>
        <w:rPr>
          <w:rFonts w:hint="default" w:ascii="Times New Roman" w:hAnsi="Times New Roman" w:cs="Times New Roman" w:eastAsiaTheme="minorEastAsia"/>
          <w:i w:val="0"/>
          <w:iCs w:val="0"/>
          <w:caps w:val="0"/>
          <w:color w:val="auto"/>
          <w:spacing w:val="0"/>
          <w:sz w:val="24"/>
          <w:szCs w:val="24"/>
          <w:shd w:val="clear" w:fill="FFFFFF"/>
          <w:lang w:val="en-US" w:eastAsia="zh-CN"/>
        </w:rPr>
        <w:t>从而进一步筛选预后基因（Fig.6</w:t>
      </w:r>
      <w:r>
        <w:rPr>
          <w:rFonts w:hint="eastAsia" w:ascii="Times New Roman" w:hAnsi="Times New Roman" w:cs="Times New Roman" w:eastAsiaTheme="minorEastAsia"/>
          <w:i w:val="0"/>
          <w:iCs w:val="0"/>
          <w:caps w:val="0"/>
          <w:color w:val="auto"/>
          <w:spacing w:val="0"/>
          <w:sz w:val="24"/>
          <w:szCs w:val="24"/>
          <w:shd w:val="clear" w:fill="FFFFFF"/>
          <w:lang w:val="en-US" w:eastAsia="zh-CN"/>
        </w:rPr>
        <w:t>A</w:t>
      </w:r>
      <w:r>
        <w:rPr>
          <w:rFonts w:hint="default" w:ascii="Times New Roman" w:hAnsi="Times New Roman" w:cs="Times New Roman" w:eastAsiaTheme="minorEastAsia"/>
          <w:i w:val="0"/>
          <w:iCs w:val="0"/>
          <w:caps w:val="0"/>
          <w:color w:val="auto"/>
          <w:spacing w:val="0"/>
          <w:sz w:val="24"/>
          <w:szCs w:val="24"/>
          <w:shd w:val="clear" w:fill="FFFFFF"/>
          <w:lang w:val="en-US" w:eastAsia="zh-CN"/>
        </w:rPr>
        <w:t>)。</w:t>
      </w:r>
      <w:r>
        <w:rPr>
          <w:rFonts w:hint="eastAsia" w:ascii="Times New Roman" w:hAnsi="Times New Roman" w:cs="Times New Roman" w:eastAsiaTheme="minorEastAsia"/>
          <w:i w:val="0"/>
          <w:iCs w:val="0"/>
          <w:caps w:val="0"/>
          <w:color w:val="auto"/>
          <w:spacing w:val="0"/>
          <w:sz w:val="24"/>
          <w:szCs w:val="24"/>
          <w:shd w:val="clear" w:fill="FFFFFF"/>
          <w:lang w:val="en-US" w:eastAsia="zh-CN"/>
        </w:rPr>
        <w:t>进而</w:t>
      </w:r>
      <w:r>
        <w:rPr>
          <w:rFonts w:hint="default" w:ascii="Times New Roman" w:hAnsi="Times New Roman" w:cs="Times New Roman" w:eastAsiaTheme="minorEastAsia"/>
          <w:color w:val="auto"/>
          <w:sz w:val="24"/>
          <w:lang w:val="en-US" w:eastAsia="zh-CN"/>
        </w:rPr>
        <w:t>使用R包中“cox.zph”函数对</w:t>
      </w:r>
      <w:r>
        <w:rPr>
          <w:rFonts w:hint="eastAsia" w:ascii="Times New Roman" w:hAnsi="Times New Roman" w:cs="Times New Roman" w:eastAsiaTheme="minorEastAsia"/>
          <w:color w:val="auto"/>
          <w:sz w:val="24"/>
          <w:lang w:val="en-US" w:eastAsia="zh-CN"/>
        </w:rPr>
        <w:t>多</w:t>
      </w:r>
      <w:r>
        <w:rPr>
          <w:rFonts w:hint="default" w:ascii="Times New Roman" w:hAnsi="Times New Roman" w:cs="Times New Roman" w:eastAsiaTheme="minorEastAsia"/>
          <w:color w:val="auto"/>
          <w:sz w:val="24"/>
          <w:lang w:val="en-US" w:eastAsia="zh-CN"/>
        </w:rPr>
        <w:t>因素Cox分析的结果进行PH假定检验（p&gt;0.05）（需要出PH检验的表格或图），剔除假阳性基因（Fig.</w:t>
      </w:r>
      <w:r>
        <w:rPr>
          <w:rFonts w:hint="eastAsia" w:ascii="Times New Roman" w:hAnsi="Times New Roman" w:cs="Times New Roman" w:eastAsiaTheme="minorEastAsia"/>
          <w:color w:val="auto"/>
          <w:sz w:val="24"/>
          <w:lang w:val="en-US" w:eastAsia="zh-CN"/>
        </w:rPr>
        <w:t>6B</w:t>
      </w:r>
      <w:r>
        <w:rPr>
          <w:rFonts w:hint="default" w:ascii="Times New Roman" w:hAnsi="Times New Roman" w:cs="Times New Roman" w:eastAsiaTheme="minorEastAsia"/>
          <w:color w:val="auto"/>
          <w:sz w:val="24"/>
          <w:lang w:val="en-US" w:eastAsia="zh-CN"/>
        </w:rPr>
        <w:t>）。</w:t>
      </w:r>
    </w:p>
    <w:p>
      <w:pPr>
        <w:numPr>
          <w:ilvl w:val="0"/>
          <w:numId w:val="0"/>
        </w:numPr>
        <w:spacing w:line="360" w:lineRule="auto"/>
        <w:ind w:firstLine="480" w:firstLineChars="200"/>
        <w:jc w:val="center"/>
        <w:rPr>
          <w:rFonts w:hint="default" w:ascii="Times New Roman" w:hAnsi="Times New Roman" w:cs="Times New Roman" w:eastAsiaTheme="minorEastAsia"/>
          <w:i w:val="0"/>
          <w:iCs w:val="0"/>
          <w:caps w:val="0"/>
          <w:color w:val="auto"/>
          <w:spacing w:val="0"/>
          <w:sz w:val="24"/>
          <w:szCs w:val="24"/>
          <w:shd w:val="clear" w:fill="FFFFFF"/>
          <w:lang w:val="en-US" w:eastAsia="zh-CN"/>
        </w:rPr>
      </w:pPr>
    </w:p>
    <w:p>
      <w:pPr>
        <w:spacing w:line="360" w:lineRule="auto"/>
        <w:jc w:val="both"/>
        <w:rPr>
          <w:rFonts w:hint="default" w:ascii="Times New Roman" w:hAnsi="Times New Roman" w:eastAsiaTheme="minorEastAsia"/>
          <w:color w:val="auto"/>
          <w:sz w:val="24"/>
        </w:rPr>
      </w:pPr>
    </w:p>
    <w:p>
      <w:pPr>
        <w:spacing w:line="360" w:lineRule="auto"/>
        <w:ind w:firstLine="480"/>
        <w:jc w:val="center"/>
        <w:rPr>
          <w:rFonts w:hint="default" w:ascii="Times New Roman" w:hAnsi="Times New Roman" w:cs="Times New Roman" w:eastAsiaTheme="minorEastAsia"/>
          <w:color w:val="auto"/>
          <w:sz w:val="24"/>
          <w:lang w:val="en-US" w:eastAsia="zh-CN"/>
        </w:rPr>
      </w:pPr>
      <w:r>
        <w:rPr>
          <w:rFonts w:hint="default" w:ascii="Times New Roman" w:hAnsi="Times New Roman" w:cs="Times New Roman" w:eastAsiaTheme="minorEastAsia"/>
          <w:color w:val="auto"/>
          <w:szCs w:val="21"/>
        </w:rPr>
        <w:t>Fig.</w:t>
      </w:r>
      <w:r>
        <w:rPr>
          <w:rFonts w:hint="default" w:ascii="Times New Roman" w:hAnsi="Times New Roman" w:cs="Times New Roman" w:eastAsiaTheme="minorEastAsia"/>
          <w:color w:val="auto"/>
          <w:szCs w:val="21"/>
          <w:lang w:val="en-US" w:eastAsia="zh-CN"/>
        </w:rPr>
        <w:t>6A</w:t>
      </w:r>
      <w:r>
        <w:rPr>
          <w:rFonts w:hint="default" w:ascii="Times New Roman" w:hAnsi="Times New Roman" w:cs="Times New Roman" w:eastAsiaTheme="minorEastAsia"/>
          <w:color w:val="auto"/>
          <w:szCs w:val="21"/>
        </w:rPr>
        <w:t xml:space="preserve"> 多因素COX回归分析与逐步回归</w:t>
      </w:r>
      <w:r>
        <w:rPr>
          <w:rFonts w:hint="default" w:ascii="Times New Roman" w:hAnsi="Times New Roman" w:cs="Times New Roman" w:eastAsiaTheme="minorEastAsia"/>
          <w:color w:val="auto"/>
          <w:szCs w:val="21"/>
          <w:lang w:val="en-US" w:eastAsia="zh-CN"/>
        </w:rPr>
        <w:t>森林图</w:t>
      </w:r>
    </w:p>
    <w:p>
      <w:pPr>
        <w:spacing w:line="360" w:lineRule="auto"/>
        <w:ind w:firstLine="480"/>
        <w:jc w:val="center"/>
        <w:rPr>
          <w:rFonts w:hint="default" w:ascii="Times New Roman" w:hAnsi="Times New Roman" w:cs="Times New Roman" w:eastAsiaTheme="minorEastAsia"/>
          <w:color w:val="auto"/>
          <w:sz w:val="24"/>
        </w:rPr>
      </w:pPr>
    </w:p>
    <w:p>
      <w:pPr>
        <w:spacing w:line="360" w:lineRule="auto"/>
        <w:ind w:firstLine="480"/>
        <w:jc w:val="center"/>
        <w:rPr>
          <w:rFonts w:hint="default" w:ascii="Times New Roman" w:hAnsi="Times New Roman" w:cs="Times New Roman" w:eastAsiaTheme="minorEastAsia"/>
          <w:color w:val="auto"/>
          <w:szCs w:val="21"/>
          <w:lang w:val="en-US" w:eastAsia="zh-CN"/>
        </w:rPr>
      </w:pPr>
      <w:r>
        <w:rPr>
          <w:rFonts w:hint="default" w:ascii="Times New Roman" w:hAnsi="Times New Roman" w:cs="Times New Roman" w:eastAsiaTheme="minorEastAsia"/>
          <w:color w:val="auto"/>
          <w:szCs w:val="21"/>
        </w:rPr>
        <w:t>Fig.</w:t>
      </w:r>
      <w:r>
        <w:rPr>
          <w:rFonts w:hint="default" w:ascii="Times New Roman" w:hAnsi="Times New Roman" w:cs="Times New Roman" w:eastAsiaTheme="minorEastAsia"/>
          <w:color w:val="auto"/>
          <w:szCs w:val="21"/>
          <w:lang w:val="en-US" w:eastAsia="zh-CN"/>
        </w:rPr>
        <w:t>6B</w:t>
      </w:r>
      <w:r>
        <w:rPr>
          <w:rFonts w:hint="default" w:ascii="Times New Roman" w:hAnsi="Times New Roman" w:cs="Times New Roman" w:eastAsiaTheme="minorEastAsia"/>
          <w:color w:val="auto"/>
          <w:szCs w:val="21"/>
        </w:rPr>
        <w:t xml:space="preserve"> </w:t>
      </w:r>
      <w:r>
        <w:rPr>
          <w:rFonts w:hint="default" w:ascii="Times New Roman" w:hAnsi="Times New Roman" w:cs="Times New Roman" w:eastAsiaTheme="minorEastAsia"/>
          <w:color w:val="auto"/>
          <w:szCs w:val="21"/>
        </w:rPr>
        <w:t>PH假定</w:t>
      </w:r>
      <w:r>
        <w:rPr>
          <w:rFonts w:hint="default" w:ascii="Times New Roman" w:hAnsi="Times New Roman" w:cs="Times New Roman" w:eastAsiaTheme="minorEastAsia"/>
          <w:color w:val="auto"/>
          <w:spacing w:val="0"/>
          <w:szCs w:val="21"/>
        </w:rPr>
        <w:t>检验样图</w:t>
      </w:r>
    </w:p>
    <w:p>
      <w:pPr>
        <w:pStyle w:val="2"/>
        <w:ind w:firstLine="0" w:firstLineChars="0"/>
        <w:rPr>
          <w:rFonts w:hint="default" w:ascii="Times New Roman" w:hAnsi="Times New Roman" w:eastAsiaTheme="minorEastAsia"/>
          <w:color w:val="auto"/>
          <w:vertAlign w:val="superscript"/>
        </w:rPr>
      </w:pPr>
      <w:r>
        <w:rPr>
          <w:rFonts w:hint="eastAsia" w:ascii="Times New Roman" w:hAnsi="Times New Roman" w:cs="Times New Roman" w:eastAsiaTheme="minorEastAsia"/>
          <w:color w:val="auto"/>
          <w:lang w:val="en-US" w:eastAsia="zh-CN"/>
        </w:rPr>
        <w:t>八、</w:t>
      </w:r>
      <w:r>
        <w:rPr>
          <w:rFonts w:hint="default" w:ascii="Times New Roman" w:hAnsi="Times New Roman" w:cs="Times New Roman" w:eastAsiaTheme="minorEastAsia"/>
          <w:color w:val="auto"/>
        </w:rPr>
        <w:t>构建预后风险模型[在训练集和验证集中进行</w:t>
      </w:r>
    </w:p>
    <w:p>
      <w:pPr>
        <w:spacing w:line="360" w:lineRule="auto"/>
        <w:ind w:firstLine="48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为了构建预后风险模型及对模型进行评估，</w:t>
      </w:r>
      <w:r>
        <w:rPr>
          <w:rFonts w:hint="default" w:ascii="Times New Roman" w:hAnsi="Times New Roman" w:cs="Times New Roman" w:eastAsiaTheme="minorEastAsia"/>
          <w:color w:val="auto"/>
          <w:sz w:val="24"/>
        </w:rPr>
        <w:t>经过上述步骤所获得的</w:t>
      </w:r>
      <w:r>
        <w:rPr>
          <w:rFonts w:hint="default" w:ascii="Times New Roman" w:hAnsi="Times New Roman" w:cs="Times New Roman" w:eastAsiaTheme="minorEastAsia"/>
          <w:color w:val="auto"/>
          <w:sz w:val="24"/>
          <w:lang w:val="en-US" w:eastAsia="zh-CN"/>
        </w:rPr>
        <w:t>预后基因</w:t>
      </w:r>
      <w:r>
        <w:rPr>
          <w:rFonts w:hint="default" w:ascii="Times New Roman" w:hAnsi="Times New Roman" w:cs="Times New Roman" w:eastAsiaTheme="minorEastAsia"/>
          <w:color w:val="auto"/>
          <w:sz w:val="24"/>
        </w:rPr>
        <w:t>的基础上，首先对训练集中携带生存信息的</w:t>
      </w:r>
      <w:r>
        <w:rPr>
          <w:rFonts w:hint="default" w:ascii="Times New Roman" w:hAnsi="Times New Roman" w:cs="Times New Roman" w:eastAsiaTheme="minorEastAsia"/>
          <w:color w:val="auto"/>
          <w:sz w:val="24"/>
          <w:lang w:val="en-US" w:eastAsia="zh-CN"/>
        </w:rPr>
        <w:t>PRAD</w:t>
      </w:r>
      <w:r>
        <w:rPr>
          <w:rFonts w:hint="default" w:ascii="Times New Roman" w:hAnsi="Times New Roman" w:cs="Times New Roman" w:eastAsiaTheme="minorEastAsia"/>
          <w:color w:val="auto"/>
          <w:sz w:val="24"/>
        </w:rPr>
        <w:t>癌组织样本中基于公式</w:t>
      </w:r>
      <w:r>
        <w:rPr>
          <w:rFonts w:hint="default" w:ascii="Times New Roman" w:hAnsi="Times New Roman" w:cs="Times New Roman" w:eastAsiaTheme="minorEastAsia"/>
          <w:color w:val="auto"/>
          <w:sz w:val="24"/>
          <w:szCs w:val="24"/>
        </w:rPr>
        <w:t>Risk Score=</w:t>
      </w:r>
      <w:r>
        <w:rPr>
          <w:rFonts w:hint="default" w:ascii="Times New Roman" w:hAnsi="Times New Roman" w:cs="Times New Roman" w:eastAsiaTheme="minorEastAsia"/>
          <w:i/>
          <w:iCs/>
          <w:color w:val="auto"/>
          <w:sz w:val="24"/>
          <w:szCs w:val="24"/>
        </w:rPr>
        <w:t>β</w:t>
      </w:r>
      <w:r>
        <w:rPr>
          <w:rFonts w:hint="default" w:ascii="Times New Roman" w:hAnsi="Times New Roman" w:cs="Times New Roman" w:eastAsiaTheme="minorEastAsia"/>
          <w:color w:val="auto"/>
          <w:sz w:val="24"/>
          <w:szCs w:val="24"/>
        </w:rPr>
        <w:t>1</w:t>
      </w:r>
      <w:r>
        <w:rPr>
          <w:rFonts w:hint="default" w:ascii="Times New Roman" w:hAnsi="Times New Roman" w:cs="Times New Roman" w:eastAsiaTheme="minorEastAsia"/>
          <w:color w:val="auto"/>
          <w:sz w:val="24"/>
          <w:szCs w:val="24"/>
          <w:lang w:val="en-US" w:eastAsia="zh-CN"/>
        </w:rPr>
        <w:t>*</w:t>
      </w:r>
      <w:r>
        <w:rPr>
          <w:rFonts w:hint="default" w:ascii="Times New Roman" w:hAnsi="Times New Roman" w:cs="Times New Roman" w:eastAsiaTheme="minorEastAsia"/>
          <w:i/>
          <w:iCs/>
          <w:color w:val="auto"/>
          <w:sz w:val="24"/>
          <w:szCs w:val="24"/>
        </w:rPr>
        <w:t>X</w:t>
      </w:r>
      <w:r>
        <w:rPr>
          <w:rFonts w:hint="default" w:ascii="Times New Roman" w:hAnsi="Times New Roman" w:cs="Times New Roman" w:eastAsiaTheme="minorEastAsia"/>
          <w:color w:val="auto"/>
          <w:sz w:val="24"/>
          <w:szCs w:val="24"/>
        </w:rPr>
        <w:t>1​+</w:t>
      </w:r>
      <w:r>
        <w:rPr>
          <w:rFonts w:hint="default" w:ascii="Times New Roman" w:hAnsi="Times New Roman" w:cs="Times New Roman" w:eastAsiaTheme="minorEastAsia"/>
          <w:i/>
          <w:iCs/>
          <w:color w:val="auto"/>
          <w:sz w:val="24"/>
          <w:szCs w:val="24"/>
        </w:rPr>
        <w:t>β</w:t>
      </w:r>
      <w:r>
        <w:rPr>
          <w:rFonts w:hint="default" w:ascii="Times New Roman" w:hAnsi="Times New Roman" w:cs="Times New Roman" w:eastAsiaTheme="minorEastAsia"/>
          <w:color w:val="auto"/>
          <w:sz w:val="24"/>
          <w:szCs w:val="24"/>
        </w:rPr>
        <w:t>2</w:t>
      </w:r>
      <w:r>
        <w:rPr>
          <w:rFonts w:hint="default" w:ascii="Times New Roman" w:hAnsi="Times New Roman" w:cs="Times New Roman" w:eastAsiaTheme="minorEastAsia"/>
          <w:color w:val="auto"/>
          <w:sz w:val="24"/>
          <w:szCs w:val="24"/>
          <w:lang w:val="en-US" w:eastAsia="zh-CN"/>
        </w:rPr>
        <w:t>*</w:t>
      </w:r>
      <w:r>
        <w:rPr>
          <w:rFonts w:hint="default" w:ascii="Times New Roman" w:hAnsi="Times New Roman" w:cs="Times New Roman" w:eastAsiaTheme="minorEastAsia"/>
          <w:i/>
          <w:iCs/>
          <w:color w:val="auto"/>
          <w:sz w:val="24"/>
          <w:szCs w:val="24"/>
        </w:rPr>
        <w:t>X</w:t>
      </w:r>
      <w:r>
        <w:rPr>
          <w:rFonts w:hint="default" w:ascii="Times New Roman" w:hAnsi="Times New Roman" w:cs="Times New Roman" w:eastAsiaTheme="minorEastAsia"/>
          <w:color w:val="auto"/>
          <w:sz w:val="24"/>
          <w:szCs w:val="24"/>
        </w:rPr>
        <w:t>2​+⋯+</w:t>
      </w:r>
      <w:r>
        <w:rPr>
          <w:rFonts w:hint="default" w:ascii="Times New Roman" w:hAnsi="Times New Roman" w:cs="Times New Roman" w:eastAsiaTheme="minorEastAsia"/>
          <w:i/>
          <w:iCs/>
          <w:color w:val="auto"/>
          <w:sz w:val="24"/>
          <w:szCs w:val="24"/>
        </w:rPr>
        <w:t>βp</w:t>
      </w:r>
      <w:r>
        <w:rPr>
          <w:rFonts w:hint="default" w:ascii="Times New Roman" w:hAnsi="Times New Roman" w:cs="Times New Roman" w:eastAsiaTheme="minorEastAsia"/>
          <w:i/>
          <w:iCs/>
          <w:color w:val="auto"/>
          <w:sz w:val="24"/>
          <w:szCs w:val="24"/>
          <w:lang w:val="en-US" w:eastAsia="zh-CN"/>
        </w:rPr>
        <w:t>*</w:t>
      </w:r>
      <w:r>
        <w:rPr>
          <w:rFonts w:hint="default" w:ascii="Times New Roman" w:hAnsi="Times New Roman" w:cs="Times New Roman" w:eastAsiaTheme="minorEastAsia"/>
          <w:i/>
          <w:iCs/>
          <w:color w:val="auto"/>
          <w:sz w:val="24"/>
          <w:szCs w:val="24"/>
        </w:rPr>
        <w:t>Xp</w:t>
      </w:r>
      <w:r>
        <w:rPr>
          <w:rFonts w:hint="default" w:ascii="Times New Roman" w:hAnsi="Times New Roman" w:cs="Times New Roman" w:eastAsiaTheme="minorEastAsia"/>
          <w:color w:val="auto"/>
          <w:sz w:val="24"/>
          <w:szCs w:val="24"/>
        </w:rPr>
        <w:t>​</w:t>
      </w:r>
      <w:r>
        <w:rPr>
          <w:rFonts w:hint="default" w:ascii="Times New Roman" w:hAnsi="Times New Roman" w:cs="Times New Roman" w:eastAsiaTheme="minorEastAsia"/>
          <w:color w:val="auto"/>
          <w:sz w:val="24"/>
        </w:rPr>
        <w:t>（</w:t>
      </w:r>
      <w:r>
        <w:rPr>
          <w:rFonts w:hint="default" w:ascii="Times New Roman" w:hAnsi="Times New Roman" w:cs="Times New Roman" w:eastAsiaTheme="minorEastAsia"/>
          <w:i/>
          <w:iCs/>
          <w:color w:val="auto"/>
          <w:sz w:val="24"/>
          <w:szCs w:val="24"/>
        </w:rPr>
        <w:t>βi</w:t>
      </w:r>
      <w:r>
        <w:rPr>
          <w:rFonts w:hint="default" w:ascii="Times New Roman" w:hAnsi="Times New Roman" w:cs="Times New Roman" w:eastAsiaTheme="minorEastAsia"/>
          <w:color w:val="auto"/>
          <w:sz w:val="24"/>
          <w:szCs w:val="24"/>
        </w:rPr>
        <w:t>​</w:t>
      </w:r>
      <w:r>
        <w:rPr>
          <w:rFonts w:hint="default" w:ascii="Times New Roman" w:hAnsi="Times New Roman" w:cs="Times New Roman" w:eastAsiaTheme="minorEastAsia"/>
          <w:color w:val="auto"/>
          <w:sz w:val="24"/>
        </w:rPr>
        <w:t>：模型中第</w:t>
      </w:r>
      <w:r>
        <w:rPr>
          <w:rFonts w:hint="default" w:ascii="Times New Roman" w:hAnsi="Times New Roman" w:cs="Times New Roman" w:eastAsiaTheme="minorEastAsia"/>
          <w:i/>
          <w:iCs/>
          <w:color w:val="auto"/>
          <w:sz w:val="24"/>
          <w:szCs w:val="24"/>
        </w:rPr>
        <w:t>i</w:t>
      </w:r>
      <w:r>
        <w:rPr>
          <w:rFonts w:hint="default" w:ascii="Times New Roman" w:hAnsi="Times New Roman" w:cs="Times New Roman" w:eastAsiaTheme="minorEastAsia"/>
          <w:color w:val="auto"/>
          <w:sz w:val="24"/>
        </w:rPr>
        <w:t>个</w:t>
      </w:r>
      <w:r>
        <w:rPr>
          <w:rFonts w:hint="default" w:ascii="Times New Roman" w:hAnsi="Times New Roman" w:cs="Times New Roman" w:eastAsiaTheme="minorEastAsia"/>
          <w:color w:val="auto"/>
          <w:sz w:val="24"/>
          <w:lang w:val="en-US" w:eastAsia="zh-CN"/>
        </w:rPr>
        <w:t>预后基因</w:t>
      </w:r>
      <w:r>
        <w:rPr>
          <w:rFonts w:hint="default" w:ascii="Times New Roman" w:hAnsi="Times New Roman" w:cs="Times New Roman" w:eastAsiaTheme="minorEastAsia"/>
          <w:color w:val="auto"/>
          <w:sz w:val="24"/>
        </w:rPr>
        <w:t>的回归系数；</w:t>
      </w:r>
      <w:r>
        <w:rPr>
          <w:rFonts w:hint="default" w:ascii="Times New Roman" w:hAnsi="Times New Roman" w:cs="Times New Roman" w:eastAsiaTheme="minorEastAsia"/>
          <w:i/>
          <w:iCs/>
          <w:color w:val="auto"/>
          <w:sz w:val="24"/>
          <w:szCs w:val="24"/>
        </w:rPr>
        <w:t>Xi</w:t>
      </w:r>
      <w:r>
        <w:rPr>
          <w:rFonts w:hint="default" w:ascii="Times New Roman" w:hAnsi="Times New Roman" w:cs="Times New Roman" w:eastAsiaTheme="minorEastAsia"/>
          <w:color w:val="auto"/>
          <w:sz w:val="24"/>
          <w:szCs w:val="24"/>
        </w:rPr>
        <w:t>​</w:t>
      </w:r>
      <w:r>
        <w:rPr>
          <w:rFonts w:hint="default" w:ascii="Times New Roman" w:hAnsi="Times New Roman" w:cs="Times New Roman" w:eastAsiaTheme="minorEastAsia"/>
          <w:color w:val="auto"/>
          <w:sz w:val="24"/>
        </w:rPr>
        <w:t>：第i个病理特征值）</w:t>
      </w:r>
      <w:r>
        <w:rPr>
          <w:rFonts w:hint="default" w:ascii="Times New Roman" w:hAnsi="Times New Roman" w:cs="Times New Roman" w:eastAsiaTheme="minorEastAsia"/>
          <w:color w:val="auto"/>
          <w:sz w:val="24"/>
          <w:lang w:eastAsia="zh-CN"/>
        </w:rPr>
        <w:t>。</w:t>
      </w:r>
      <w:r>
        <w:rPr>
          <w:rFonts w:hint="default" w:ascii="Times New Roman" w:hAnsi="Times New Roman" w:cs="Times New Roman" w:eastAsiaTheme="minorEastAsia"/>
          <w:color w:val="auto"/>
          <w:sz w:val="24"/>
        </w:rPr>
        <w:t>计算所有患者的风险评分，以中位数（或最佳截断值，训练集和验证集保持一致）将</w:t>
      </w:r>
      <w:r>
        <w:rPr>
          <w:rFonts w:hint="default" w:ascii="Times New Roman" w:hAnsi="Times New Roman" w:cs="Times New Roman" w:eastAsiaTheme="minorEastAsia"/>
          <w:color w:val="auto"/>
          <w:sz w:val="24"/>
          <w:lang w:val="en-US" w:eastAsia="zh-CN"/>
        </w:rPr>
        <w:t>PRAD</w:t>
      </w:r>
      <w:r>
        <w:rPr>
          <w:rFonts w:hint="default" w:ascii="Times New Roman" w:hAnsi="Times New Roman" w:cs="Times New Roman" w:eastAsiaTheme="minorEastAsia"/>
          <w:color w:val="auto"/>
          <w:sz w:val="24"/>
        </w:rPr>
        <w:t>患者分为高/低风险组（注意样本的均衡性），基于高/低风险组，使用R包“survminer”绘制K-M曲线评估高/低风险组生存率的差异（以log-rank检验计算显著性，P＜0.05）。并使用“survivalROC”R包分析1，3，5年的ROC曲线，以验证模型预测的准确性，并计算其曲线下面积（Area Under the Curve，AUC值）（AUC&gt;0.6且AUC≠1，AUC值越高，预测的效果越好。展示训练集中K-M生存曲线及1,3,5年ROC曲线样图（</w:t>
      </w:r>
      <w:r>
        <w:rPr>
          <w:rFonts w:hint="default" w:ascii="Times New Roman" w:hAnsi="Times New Roman" w:cs="Times New Roman" w:eastAsiaTheme="minorEastAsia"/>
          <w:color w:val="auto"/>
          <w:sz w:val="24"/>
        </w:rPr>
        <w:t>Fig.1</w:t>
      </w:r>
      <w:r>
        <w:rPr>
          <w:rFonts w:hint="default" w:ascii="Times New Roman" w:hAnsi="Times New Roman" w:cs="Times New Roman" w:eastAsiaTheme="minorEastAsia"/>
          <w:color w:val="auto"/>
          <w:sz w:val="24"/>
          <w:lang w:val="en-US" w:eastAsia="zh-CN"/>
        </w:rPr>
        <w:t>2</w:t>
      </w:r>
      <w:r>
        <w:rPr>
          <w:rFonts w:hint="default" w:ascii="Times New Roman" w:hAnsi="Times New Roman" w:cs="Times New Roman" w:eastAsiaTheme="minorEastAsia"/>
          <w:color w:val="auto"/>
          <w:sz w:val="24"/>
        </w:rPr>
        <w:t>a</w:t>
      </w:r>
      <w:r>
        <w:rPr>
          <w:rFonts w:hint="default" w:ascii="Times New Roman" w:hAnsi="Times New Roman" w:cs="Times New Roman" w:eastAsiaTheme="minorEastAsia"/>
          <w:color w:val="auto"/>
          <w:sz w:val="24"/>
        </w:rPr>
        <w:t>）。</w:t>
      </w:r>
    </w:p>
    <w:p>
      <w:pPr>
        <w:spacing w:line="360" w:lineRule="auto"/>
        <w:rPr>
          <w:rFonts w:hint="default" w:ascii="Times New Roman" w:hAnsi="Times New Roman" w:cs="Times New Roman" w:eastAsiaTheme="minorEastAsia"/>
          <w:color w:val="auto"/>
          <w:sz w:val="24"/>
        </w:rPr>
      </w:pPr>
    </w:p>
    <w:p>
      <w:pPr>
        <w:spacing w:line="360" w:lineRule="auto"/>
        <w:ind w:firstLine="480"/>
        <w:jc w:val="center"/>
        <w:rPr>
          <w:rFonts w:hint="default" w:ascii="Times New Roman" w:hAnsi="Times New Roman" w:cs="Times New Roman" w:eastAsiaTheme="minorEastAsia"/>
          <w:b/>
          <w:bCs/>
          <w:color w:val="auto"/>
          <w:sz w:val="24"/>
        </w:rPr>
      </w:pPr>
      <w:r>
        <w:rPr>
          <w:rFonts w:hint="default" w:ascii="Times New Roman" w:hAnsi="Times New Roman" w:cs="Times New Roman" w:eastAsiaTheme="minorEastAsia"/>
          <w:color w:val="auto"/>
          <w:szCs w:val="21"/>
        </w:rPr>
        <w:t>Fig.1</w:t>
      </w:r>
      <w:r>
        <w:rPr>
          <w:rFonts w:hint="default" w:ascii="Times New Roman" w:hAnsi="Times New Roman" w:cs="Times New Roman" w:eastAsiaTheme="minorEastAsia"/>
          <w:color w:val="auto"/>
          <w:szCs w:val="21"/>
          <w:lang w:val="en-US" w:eastAsia="zh-CN"/>
        </w:rPr>
        <w:t>2</w:t>
      </w:r>
      <w:r>
        <w:rPr>
          <w:rFonts w:hint="default" w:ascii="Times New Roman" w:hAnsi="Times New Roman" w:cs="Times New Roman" w:eastAsiaTheme="minorEastAsia"/>
          <w:color w:val="auto"/>
          <w:szCs w:val="21"/>
        </w:rPr>
        <w:t>a 训练集K-M生存曲线及ROC曲线样图</w:t>
      </w:r>
    </w:p>
    <w:p>
      <w:pPr>
        <w:spacing w:line="360" w:lineRule="auto"/>
        <w:ind w:firstLine="480"/>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 w:val="24"/>
        </w:rPr>
        <w:t>为了验证预后风险模型的准确性，</w:t>
      </w:r>
      <w:r>
        <w:rPr>
          <w:rFonts w:hint="default" w:ascii="Times New Roman" w:hAnsi="Times New Roman" w:cs="Times New Roman" w:eastAsiaTheme="minorEastAsia"/>
          <w:color w:val="auto"/>
          <w:sz w:val="24"/>
        </w:rPr>
        <w:t>在验证集中具有生存信息的</w:t>
      </w:r>
      <w:r>
        <w:rPr>
          <w:rFonts w:hint="default" w:ascii="Times New Roman" w:hAnsi="Times New Roman" w:cs="Times New Roman" w:eastAsiaTheme="minorEastAsia"/>
          <w:color w:val="auto"/>
          <w:sz w:val="24"/>
          <w:lang w:val="en-US" w:eastAsia="zh-CN"/>
        </w:rPr>
        <w:t>PRAD</w:t>
      </w:r>
      <w:r>
        <w:rPr>
          <w:rFonts w:hint="default" w:ascii="Times New Roman" w:hAnsi="Times New Roman" w:cs="Times New Roman" w:eastAsiaTheme="minorEastAsia"/>
          <w:color w:val="auto"/>
          <w:sz w:val="24"/>
        </w:rPr>
        <w:t>癌组织样本中验证该模型。根据预后风险模型计算验证集中每个患者的风险评分，并根据风险评分中位值（可调整为最佳阈值，与前面的训练集保持一致并注意样本的均衡性）将患者分为高/低风险组。基于高/低风险组，使用R包“survminer”绘制K-M曲线评估高/低风险组生存率的差异（以log-rank检验计算显著性，P＜0.05）。并使用“survivalROC”R包分析1，3，5年的ROC曲线，以验证模型预测的准确性，并计算其曲线下面积（Area Under the Curve，AUC值）（AUC&gt;0.6且AUC≠1，AUC值越高，预测的效果越好。保证在训练集和验证集中1，3，5年的AUC值都大于0.6且AUC≠1。</w:t>
      </w:r>
      <w:r>
        <w:rPr>
          <w:rFonts w:hint="default" w:ascii="Times New Roman" w:hAnsi="Times New Roman" w:cs="Times New Roman" w:eastAsiaTheme="minorEastAsia"/>
          <w:color w:val="auto"/>
          <w:sz w:val="24"/>
        </w:rPr>
        <w:t>【展示年限可根据样本中的生存时间实际情况进行调整，但验证集需要与训练集保持一致】</w:t>
      </w:r>
      <w:r>
        <w:rPr>
          <w:rFonts w:hint="default" w:ascii="Times New Roman" w:hAnsi="Times New Roman" w:cs="Times New Roman" w:eastAsiaTheme="minorEastAsia"/>
          <w:color w:val="auto"/>
          <w:sz w:val="24"/>
        </w:rPr>
        <w:t>。展示K-M生存曲线及1,3,5年ROC曲线样图（</w:t>
      </w:r>
      <w:r>
        <w:rPr>
          <w:rFonts w:hint="default" w:ascii="Times New Roman" w:hAnsi="Times New Roman" w:cs="Times New Roman" w:eastAsiaTheme="minorEastAsia"/>
          <w:color w:val="auto"/>
          <w:sz w:val="24"/>
        </w:rPr>
        <w:t>Fig.1</w:t>
      </w:r>
      <w:r>
        <w:rPr>
          <w:rFonts w:hint="default" w:ascii="Times New Roman" w:hAnsi="Times New Roman" w:cs="Times New Roman" w:eastAsiaTheme="minorEastAsia"/>
          <w:color w:val="auto"/>
          <w:sz w:val="24"/>
          <w:lang w:val="en-US" w:eastAsia="zh-CN"/>
        </w:rPr>
        <w:t>2</w:t>
      </w:r>
      <w:r>
        <w:rPr>
          <w:rFonts w:hint="default" w:ascii="Times New Roman" w:hAnsi="Times New Roman" w:cs="Times New Roman" w:eastAsiaTheme="minorEastAsia"/>
          <w:color w:val="auto"/>
          <w:sz w:val="24"/>
        </w:rPr>
        <w:t>b</w:t>
      </w:r>
      <w:r>
        <w:rPr>
          <w:rFonts w:hint="default" w:ascii="Times New Roman" w:hAnsi="Times New Roman" w:cs="Times New Roman" w:eastAsiaTheme="minorEastAsia"/>
          <w:color w:val="auto"/>
          <w:sz w:val="24"/>
        </w:rPr>
        <w:t>）。</w:t>
      </w:r>
    </w:p>
    <w:p>
      <w:pPr>
        <w:spacing w:line="360" w:lineRule="auto"/>
        <w:rPr>
          <w:rFonts w:hint="default" w:ascii="Times New Roman" w:hAnsi="Times New Roman" w:cs="Times New Roman" w:eastAsiaTheme="minorEastAsia"/>
          <w:color w:val="auto"/>
          <w:sz w:val="24"/>
        </w:rPr>
      </w:pPr>
    </w:p>
    <w:p>
      <w:pPr>
        <w:spacing w:line="360" w:lineRule="auto"/>
        <w:ind w:firstLine="480"/>
        <w:jc w:val="center"/>
        <w:rPr>
          <w:rFonts w:hint="default" w:ascii="Times New Roman" w:hAnsi="Times New Roman" w:cs="Times New Roman" w:eastAsiaTheme="minorEastAsia"/>
          <w:color w:val="auto"/>
          <w:sz w:val="24"/>
        </w:rPr>
      </w:pPr>
      <w:r>
        <w:rPr>
          <w:rFonts w:hint="default" w:ascii="Times New Roman" w:hAnsi="Times New Roman" w:cs="Times New Roman" w:eastAsiaTheme="minorEastAsia"/>
          <w:color w:val="auto"/>
          <w:szCs w:val="21"/>
        </w:rPr>
        <w:t>Fig. 1</w:t>
      </w:r>
      <w:r>
        <w:rPr>
          <w:rFonts w:hint="default" w:ascii="Times New Roman" w:hAnsi="Times New Roman" w:cs="Times New Roman" w:eastAsiaTheme="minorEastAsia"/>
          <w:color w:val="auto"/>
          <w:szCs w:val="21"/>
          <w:lang w:val="en-US" w:eastAsia="zh-CN"/>
        </w:rPr>
        <w:t>2</w:t>
      </w:r>
      <w:r>
        <w:rPr>
          <w:rFonts w:hint="default" w:ascii="Times New Roman" w:hAnsi="Times New Roman" w:cs="Times New Roman" w:eastAsiaTheme="minorEastAsia"/>
          <w:color w:val="auto"/>
          <w:szCs w:val="21"/>
        </w:rPr>
        <w:t>b验证集K-M生存曲线及ROC曲线样图</w:t>
      </w:r>
    </w:p>
    <w:p>
      <w:pPr>
        <w:rPr>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8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C86513"/>
    <w:multiLevelType w:val="singleLevel"/>
    <w:tmpl w:val="A7C86513"/>
    <w:lvl w:ilvl="0" w:tentative="0">
      <w:start w:val="1"/>
      <w:numFmt w:val="bullet"/>
      <w:lvlText w:val=""/>
      <w:lvlJc w:val="left"/>
      <w:pPr>
        <w:ind w:left="420" w:hanging="420"/>
      </w:pPr>
      <w:rPr>
        <w:rFonts w:hint="default" w:ascii="Wingdings" w:hAnsi="Wingdings"/>
      </w:rPr>
    </w:lvl>
  </w:abstractNum>
  <w:abstractNum w:abstractNumId="1">
    <w:nsid w:val="B448EF9E"/>
    <w:multiLevelType w:val="singleLevel"/>
    <w:tmpl w:val="B448EF9E"/>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FFAC5F"/>
    <w:rsid w:val="6DFF425E"/>
    <w:rsid w:val="FBFFA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2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2026-05-25T13:39:00Z</dcterms:created>
  <dc:creator>雪</dc:creator>
  <cp:lastModifiedBy>雪</cp:lastModifiedBy>
  <dcterms:modified xsi:type="dcterms:W3CDTF">2026-05-25T13:47:02Z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93F09A3C1BBB139D80E0136A226FFADB_41</vt:lpwstr>
  </property>
</Properties>
</file>