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91D70"/>
          <w:sz w:val="28"/>
        </w:rPr>
        <w:t>THE UNIVERSITY OF QUEENSLAND</w:t>
        <w:br/>
        <w:t>AUSTRALIA</w:t>
      </w:r>
    </w:p>
    <w:p>
      <w:pPr>
        <w:spacing w:after="1600"/>
      </w:pPr>
    </w:p>
    <w:p>
      <w:pPr>
        <w:spacing w:after="800"/>
        <w:jc w:val="center"/>
      </w:pPr>
      <w:r>
        <w:rPr>
          <w:b/>
          <w:color w:val="1B4F72"/>
          <w:sz w:val="44"/>
        </w:rPr>
        <w:t>A Comparative Study of Conventional Machine Learning and Deep Sequential Models for Lithium-Ion Battery Remaining Useful Life Prediction</w:t>
      </w:r>
    </w:p>
    <w:p>
      <w:pPr>
        <w:spacing w:line="336" w:lineRule="auto"/>
        <w:jc w:val="center"/>
      </w:pPr>
      <w:r>
        <w:rPr>
          <w:i/>
          <w:sz w:val="22"/>
        </w:rPr>
        <w:t>A Project Proposal submitted in partial fulfilment of the requirements</w:t>
        <w:br/>
        <w:t>for the Degree of Master of Engineering</w:t>
        <w:br/>
        <w:br/>
      </w:r>
      <w:r>
        <w:rPr>
          <w:b/>
          <w:sz w:val="24"/>
        </w:rPr>
        <w:t>by</w:t>
        <w:br/>
        <w:t>Ryan / Rrydicy</w:t>
        <w:br/>
        <w:t>Student ID: [Your Student Number]</w:t>
        <w:br/>
        <w:br/>
        <w:t>under the supervision of</w:t>
        <w:br/>
        <w:t>[Supervisor Name]</w:t>
        <w:br/>
        <w:br/>
        <w:t>School of Electrical Engineering and Computer Science</w:t>
        <w:br/>
      </w:r>
      <w:r>
        <w:rPr>
          <w:sz w:val="22"/>
        </w:rPr>
        <w:t>Semester 2, September 2026</w:t>
      </w:r>
    </w:p>
    <w:p>
      <w:r>
        <w:br w:type="page"/>
      </w:r>
    </w:p>
    <w:p>
      <w:pPr>
        <w:pStyle w:val="Heading1"/>
      </w:pPr>
      <w:r>
        <w:t>Use of AI Statement</w:t>
      </w:r>
    </w:p>
    <w:p>
      <w:r>
        <w:t>I acknowledge the use of generative AI tools in completing this project proposal. Details of which tools were used and how they were used are provided in the declaration table below, along with appropriate in-text references. I take full responsibility for critically evaluating, verifying, and integrating all content, ensuring strict adherence to academic integrity and University of Queensland guidelines.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1B4F72"/>
            <w:tcMar>
              <w:top w:w="80" w:type="dxa"/>
              <w:bottom w:w="80" w:type="dxa"/>
              <w:left w:w="100" w:type="dxa"/>
              <w:right w:w="100" w:type="dxa"/>
            </w:tcMar>
          </w:tcPr>
          <w:p>
            <w:r>
              <w:rPr>
                <w:b/>
                <w:color w:val="FFFFFF"/>
                <w:sz w:val="19"/>
              </w:rPr>
              <w:t>AI Tool &amp; Version</w:t>
            </w:r>
          </w:p>
        </w:tc>
        <w:tc>
          <w:tcPr>
            <w:tcW w:type="dxa" w:w="2257"/>
            <w:shd w:fill="1B4F72"/>
            <w:tcMar>
              <w:top w:w="80" w:type="dxa"/>
              <w:bottom w:w="80" w:type="dxa"/>
              <w:left w:w="100" w:type="dxa"/>
              <w:right w:w="100" w:type="dxa"/>
            </w:tcMar>
          </w:tcPr>
          <w:p>
            <w:r>
              <w:rPr>
                <w:b/>
                <w:color w:val="FFFFFF"/>
                <w:sz w:val="19"/>
              </w:rPr>
              <w:t>Dates Used</w:t>
            </w:r>
          </w:p>
        </w:tc>
        <w:tc>
          <w:tcPr>
            <w:tcW w:type="dxa" w:w="2257"/>
            <w:shd w:fill="1B4F72"/>
            <w:tcMar>
              <w:top w:w="80" w:type="dxa"/>
              <w:bottom w:w="80" w:type="dxa"/>
              <w:left w:w="100" w:type="dxa"/>
              <w:right w:w="100" w:type="dxa"/>
            </w:tcMar>
          </w:tcPr>
          <w:p>
            <w:r>
              <w:rPr>
                <w:b/>
                <w:color w:val="FFFFFF"/>
                <w:sz w:val="19"/>
              </w:rPr>
              <w:t>Supported Activities</w:t>
            </w:r>
          </w:p>
        </w:tc>
        <w:tc>
          <w:tcPr>
            <w:tcW w:type="dxa" w:w="2257"/>
            <w:shd w:fill="1B4F72"/>
            <w:tcMar>
              <w:top w:w="80" w:type="dxa"/>
              <w:bottom w:w="80" w:type="dxa"/>
              <w:left w:w="100" w:type="dxa"/>
              <w:right w:w="100" w:type="dxa"/>
            </w:tcMar>
          </w:tcPr>
          <w:p>
            <w:r>
              <w:rPr>
                <w:b/>
                <w:color w:val="FFFFFF"/>
                <w:sz w:val="19"/>
              </w:rPr>
              <w:t>Specific Details &amp; Application</w:t>
            </w:r>
          </w:p>
        </w:tc>
      </w:tr>
      <w:tr>
        <w:tc>
          <w:tcPr>
            <w:tcW w:type="dxa" w:w="2257"/>
            <w:tcMar>
              <w:top w:w="60" w:type="dxa"/>
              <w:bottom w:w="60" w:type="dxa"/>
              <w:left w:w="80" w:type="dxa"/>
              <w:right w:w="80" w:type="dxa"/>
            </w:tcMar>
          </w:tcPr>
          <w:p>
            <w:r>
              <w:rPr>
                <w:sz w:val="18"/>
              </w:rPr>
              <w:t>Google Antigravity / Gemini</w:t>
            </w:r>
          </w:p>
        </w:tc>
        <w:tc>
          <w:tcPr>
            <w:tcW w:type="dxa" w:w="2257"/>
            <w:tcMar>
              <w:top w:w="60" w:type="dxa"/>
              <w:bottom w:w="60" w:type="dxa"/>
              <w:left w:w="80" w:type="dxa"/>
              <w:right w:w="80" w:type="dxa"/>
            </w:tcMar>
          </w:tcPr>
          <w:p>
            <w:r>
              <w:rPr>
                <w:sz w:val="18"/>
              </w:rPr>
              <w:t>Aug - Sep 2026</w:t>
            </w:r>
          </w:p>
        </w:tc>
        <w:tc>
          <w:tcPr>
            <w:tcW w:type="dxa" w:w="2257"/>
            <w:tcMar>
              <w:top w:w="60" w:type="dxa"/>
              <w:bottom w:w="60" w:type="dxa"/>
              <w:left w:w="80" w:type="dxa"/>
              <w:right w:w="80" w:type="dxa"/>
            </w:tcMar>
          </w:tcPr>
          <w:p>
            <w:r>
              <w:rPr>
                <w:sz w:val="18"/>
              </w:rPr>
              <w:t>Topic Exploration, Methodological Review, Code Scaffolding, Grammar/Style Polishing</w:t>
            </w:r>
          </w:p>
        </w:tc>
        <w:tc>
          <w:tcPr>
            <w:tcW w:type="dxa" w:w="2257"/>
            <w:tcMar>
              <w:top w:w="60" w:type="dxa"/>
              <w:bottom w:w="60" w:type="dxa"/>
              <w:left w:w="80" w:type="dxa"/>
              <w:right w:w="80" w:type="dxa"/>
            </w:tcMar>
          </w:tcPr>
          <w:p>
            <w:r>
              <w:rPr>
                <w:sz w:val="18"/>
              </w:rPr>
              <w:t>Assisted in reviewing BESS literature gaps, refining experimental comparison metrics, structuring Python code for NASA dataset extraction, and polishing academic prose.</w:t>
            </w:r>
          </w:p>
        </w:tc>
      </w:tr>
      <w:tr>
        <w:tc>
          <w:tcPr>
            <w:tcW w:type="dxa" w:w="2257"/>
            <w:tcMar>
              <w:top w:w="60" w:type="dxa"/>
              <w:bottom w:w="60" w:type="dxa"/>
              <w:left w:w="80" w:type="dxa"/>
              <w:right w:w="80" w:type="dxa"/>
            </w:tcMar>
            <w:shd w:fill="F2F4F4"/>
          </w:tcPr>
          <w:p>
            <w:r>
              <w:rPr>
                <w:sz w:val="18"/>
              </w:rPr>
              <w:t>ChatGPT (GPT-4o)</w:t>
            </w:r>
          </w:p>
        </w:tc>
        <w:tc>
          <w:tcPr>
            <w:tcW w:type="dxa" w:w="2257"/>
            <w:tcMar>
              <w:top w:w="60" w:type="dxa"/>
              <w:bottom w:w="60" w:type="dxa"/>
              <w:left w:w="80" w:type="dxa"/>
              <w:right w:w="80" w:type="dxa"/>
            </w:tcMar>
            <w:shd w:fill="F2F4F4"/>
          </w:tcPr>
          <w:p>
            <w:r>
              <w:rPr>
                <w:sz w:val="18"/>
              </w:rPr>
              <w:t>Sep 2026</w:t>
            </w:r>
          </w:p>
        </w:tc>
        <w:tc>
          <w:tcPr>
            <w:tcW w:type="dxa" w:w="2257"/>
            <w:tcMar>
              <w:top w:w="60" w:type="dxa"/>
              <w:bottom w:w="60" w:type="dxa"/>
              <w:left w:w="80" w:type="dxa"/>
              <w:right w:w="80" w:type="dxa"/>
            </w:tcMar>
            <w:shd w:fill="F2F4F4"/>
          </w:tcPr>
          <w:p>
            <w:r>
              <w:rPr>
                <w:sz w:val="18"/>
              </w:rPr>
              <w:t>Literature Synthesis &amp; Formatting</w:t>
            </w:r>
          </w:p>
        </w:tc>
        <w:tc>
          <w:tcPr>
            <w:tcW w:type="dxa" w:w="2257"/>
            <w:tcMar>
              <w:top w:w="60" w:type="dxa"/>
              <w:bottom w:w="60" w:type="dxa"/>
              <w:left w:w="80" w:type="dxa"/>
              <w:right w:w="80" w:type="dxa"/>
            </w:tcMar>
            <w:shd w:fill="F2F4F4"/>
          </w:tcPr>
          <w:p>
            <w:r>
              <w:rPr>
                <w:sz w:val="18"/>
              </w:rPr>
              <w:t>Used for exploratory literature search, cross-referencing battery prognostic methodologies, and formatting reference styles.</w:t>
            </w:r>
          </w:p>
        </w:tc>
      </w:tr>
    </w:tbl>
    <w:p>
      <w:pPr>
        <w:spacing w:after="240"/>
      </w:pPr>
    </w:p>
    <w:p>
      <w:pPr>
        <w:pStyle w:val="Heading1"/>
      </w:pPr>
      <w:r>
        <w:t>Table of Contents</w:t>
      </w:r>
    </w:p>
    <w:p>
      <w:pPr>
        <w:spacing w:line="264" w:lineRule="auto" w:after="40"/>
      </w:pPr>
      <w:r>
        <w:rPr>
          <w:rFonts w:ascii="Consolas" w:hAnsi="Consolas"/>
          <w:sz w:val="19"/>
        </w:rPr>
        <w:t>1. Introduction ......................................................................................................................................... 4</w:t>
      </w:r>
    </w:p>
    <w:p>
      <w:pPr>
        <w:spacing w:line="264" w:lineRule="auto" w:after="40"/>
      </w:pPr>
      <w:r>
        <w:rPr>
          <w:rFonts w:ascii="Consolas" w:hAnsi="Consolas"/>
          <w:sz w:val="19"/>
        </w:rPr>
        <w:t xml:space="preserve">   1.1 Field and Research Significance .................................................................................................. 4</w:t>
      </w:r>
    </w:p>
    <w:p>
      <w:pPr>
        <w:spacing w:line="264" w:lineRule="auto" w:after="40"/>
      </w:pPr>
      <w:r>
        <w:rPr>
          <w:rFonts w:ascii="Consolas" w:hAnsi="Consolas"/>
          <w:sz w:val="19"/>
        </w:rPr>
        <w:t xml:space="preserve">   1.2 Previous Work and Identified Knowledge Gap ......................................................................... 4</w:t>
      </w:r>
    </w:p>
    <w:p>
      <w:pPr>
        <w:spacing w:line="264" w:lineRule="auto" w:after="40"/>
      </w:pPr>
      <w:r>
        <w:rPr>
          <w:rFonts w:ascii="Consolas" w:hAnsi="Consolas"/>
          <w:sz w:val="19"/>
        </w:rPr>
        <w:t xml:space="preserve">   1.3 Project Aim and Scope ................................................................................................................ 4</w:t>
      </w:r>
    </w:p>
    <w:p>
      <w:pPr>
        <w:spacing w:line="264" w:lineRule="auto" w:after="40"/>
      </w:pPr>
      <w:r>
        <w:rPr>
          <w:rFonts w:ascii="Consolas" w:hAnsi="Consolas"/>
          <w:sz w:val="19"/>
        </w:rPr>
        <w:t>2. Background and Literature Review ..................................................................................................... 5</w:t>
      </w:r>
    </w:p>
    <w:p>
      <w:pPr>
        <w:spacing w:line="264" w:lineRule="auto" w:after="40"/>
      </w:pPr>
      <w:r>
        <w:rPr>
          <w:rFonts w:ascii="Consolas" w:hAnsi="Consolas"/>
          <w:sz w:val="19"/>
        </w:rPr>
        <w:t xml:space="preserve">   2.1 Major Models Implemented in Battery Prognostics ................................................................. 5</w:t>
      </w:r>
    </w:p>
    <w:p>
      <w:pPr>
        <w:spacing w:line="264" w:lineRule="auto" w:after="40"/>
      </w:pPr>
      <w:r>
        <w:rPr>
          <w:rFonts w:ascii="Consolas" w:hAnsi="Consolas"/>
          <w:sz w:val="19"/>
        </w:rPr>
        <w:t xml:space="preserve">   2.2 Lithium-Ion Battery Degradation: Definition &amp; Formulations ................................................... 6</w:t>
      </w:r>
    </w:p>
    <w:p>
      <w:pPr>
        <w:spacing w:line="264" w:lineRule="auto" w:after="40"/>
      </w:pPr>
      <w:r>
        <w:rPr>
          <w:rFonts w:ascii="Consolas" w:hAnsi="Consolas"/>
          <w:sz w:val="19"/>
        </w:rPr>
        <w:t xml:space="preserve">   2.3 Health Indicator (HI) Feature Extraction ................................................................................... 7</w:t>
      </w:r>
    </w:p>
    <w:p>
      <w:pPr>
        <w:spacing w:line="264" w:lineRule="auto" w:after="40"/>
      </w:pPr>
      <w:r>
        <w:rPr>
          <w:rFonts w:ascii="Consolas" w:hAnsi="Consolas"/>
          <w:sz w:val="19"/>
        </w:rPr>
        <w:t xml:space="preserve">   2.4 Summary of Knowledge Gaps &amp; Contribution Matrix ............................................................... 8</w:t>
      </w:r>
    </w:p>
    <w:p>
      <w:pPr>
        <w:spacing w:line="264" w:lineRule="auto" w:after="40"/>
      </w:pPr>
      <w:r>
        <w:rPr>
          <w:rFonts w:ascii="Consolas" w:hAnsi="Consolas"/>
          <w:sz w:val="19"/>
        </w:rPr>
        <w:t>3. Project Plan and Methodology .......................................................................................................... 9</w:t>
      </w:r>
    </w:p>
    <w:p>
      <w:pPr>
        <w:spacing w:line="264" w:lineRule="auto" w:after="40"/>
      </w:pPr>
      <w:r>
        <w:rPr>
          <w:rFonts w:ascii="Consolas" w:hAnsi="Consolas"/>
          <w:sz w:val="19"/>
        </w:rPr>
        <w:t xml:space="preserve">   3.1 Project Aims and Hypotheses ..................................................................................................... 9</w:t>
      </w:r>
    </w:p>
    <w:p>
      <w:pPr>
        <w:spacing w:line="264" w:lineRule="auto" w:after="40"/>
      </w:pPr>
      <w:r>
        <w:rPr>
          <w:rFonts w:ascii="Consolas" w:hAnsi="Consolas"/>
          <w:sz w:val="19"/>
        </w:rPr>
        <w:t xml:space="preserve">   3.2 Research Methodology and Pipeline Design .............................................................................. 9</w:t>
      </w:r>
    </w:p>
    <w:p>
      <w:pPr>
        <w:spacing w:line="264" w:lineRule="auto" w:after="40"/>
      </w:pPr>
      <w:r>
        <w:rPr>
          <w:rFonts w:ascii="Consolas" w:hAnsi="Consolas"/>
          <w:sz w:val="19"/>
        </w:rPr>
        <w:t xml:space="preserve">   3.3 Success Metrics and Multi-Dimensional Evaluation Framework ............................................. 10</w:t>
      </w:r>
    </w:p>
    <w:p>
      <w:pPr>
        <w:spacing w:line="264" w:lineRule="auto" w:after="40"/>
      </w:pPr>
      <w:r>
        <w:rPr>
          <w:rFonts w:ascii="Consolas" w:hAnsi="Consolas"/>
          <w:sz w:val="19"/>
        </w:rPr>
        <w:t xml:space="preserve">   3.4 Work Already Completed ........................................................................................................... 11</w:t>
      </w:r>
    </w:p>
    <w:p>
      <w:pPr>
        <w:spacing w:line="264" w:lineRule="auto" w:after="40"/>
      </w:pPr>
      <w:r>
        <w:rPr>
          <w:rFonts w:ascii="Consolas" w:hAnsi="Consolas"/>
          <w:sz w:val="19"/>
        </w:rPr>
        <w:t xml:space="preserve">   3.5 Project Milestones, Timeline, and Contingency Scenarios ........................................................ 11</w:t>
      </w:r>
    </w:p>
    <w:p>
      <w:pPr>
        <w:spacing w:line="264" w:lineRule="auto" w:after="40"/>
      </w:pPr>
      <w:r>
        <w:rPr>
          <w:rFonts w:ascii="Consolas" w:hAnsi="Consolas"/>
          <w:sz w:val="19"/>
        </w:rPr>
        <w:t xml:space="preserve">   3.6 Risk Management (Project Technical Risks &amp; OHS Safety) ..................................................... 12</w:t>
      </w:r>
    </w:p>
    <w:p>
      <w:pPr>
        <w:spacing w:line="264" w:lineRule="auto" w:after="40"/>
      </w:pPr>
      <w:r>
        <w:rPr>
          <w:rFonts w:ascii="Consolas" w:hAnsi="Consolas"/>
          <w:sz w:val="19"/>
        </w:rPr>
        <w:t xml:space="preserve">   3.7 Ethics Statement ......................................................................................................................... 13</w:t>
      </w:r>
    </w:p>
    <w:p>
      <w:pPr>
        <w:spacing w:line="264" w:lineRule="auto" w:after="40"/>
      </w:pPr>
      <w:r>
        <w:rPr>
          <w:rFonts w:ascii="Consolas" w:hAnsi="Consolas"/>
          <w:sz w:val="19"/>
        </w:rPr>
        <w:t>References ............................................................................................................................................. 14</w:t>
      </w:r>
    </w:p>
    <w:p>
      <w:pPr>
        <w:spacing w:line="264" w:lineRule="auto" w:after="40"/>
      </w:pPr>
      <w:r>
        <w:rPr>
          <w:rFonts w:ascii="Consolas" w:hAnsi="Consolas"/>
          <w:sz w:val="19"/>
        </w:rPr>
        <w:t>Appendix A: Planned Hyperparameter Search Grid ............................................................................... 15</w:t>
      </w:r>
    </w:p>
    <w:p>
      <w:r>
        <w:br w:type="page"/>
      </w:r>
    </w:p>
    <w:p>
      <w:pPr>
        <w:pStyle w:val="Heading1"/>
      </w:pPr>
      <w:r>
        <w:t>1. Introduction</w:t>
      </w:r>
    </w:p>
    <w:p>
      <w:pPr>
        <w:pStyle w:val="Heading2"/>
      </w:pPr>
      <w:r>
        <w:t>1.1 Field and Research Significance</w:t>
      </w:r>
    </w:p>
    <w:p>
      <w:r>
        <w:t>Lithium-ion batteries have established themselves as the cornerstone energy storage technology for modern electric mobility and stationary Battery Energy Storage Systems (BESS). As the global transition toward renewable energy accelerates, the integration of intermittent energy sources—such as rooftop solar photovoltaics (PV) and wind turbines—critically depends on reliable battery storage assets to maintain grid stability and provide continuous power. However, repetitive electrochemical charge-discharge cycling inevitably induces irreversible degradation, manifested as capacity fade and internal resistance growth. In unmonitored systems, severe degradation causes premature capacity loss, unexpected operational downtime, and critical safety hazards such as thermal runaway. Consequently, accurate and cost-effective prognosis of battery Remaining Useful Life (RUL) and State of Health (SoH) is vital for predictive maintenance and safe asset management.</w:t>
      </w:r>
    </w:p>
    <w:p>
      <w:pPr>
        <w:pStyle w:val="Heading2"/>
      </w:pPr>
      <w:r>
        <w:t>1.2 Previous Work and Identified Knowledge Gap</w:t>
      </w:r>
    </w:p>
    <w:p>
      <w:r>
        <w:t>Data-driven machine learning has emerged as a compelling alternative to computationally intractable electrochemical models for battery lifetime prediction. Recent academic literature predominantly focuses on developing increasingly complex deep neural architectures (e.g., hybrid CNN-Transformers and multi-layer attention networks) to maximize statistical accuracy on centralized cloud servers. However, this academic trend has widened the gap between theoretical model complexity and the practical constraints of residential and commercial BESS installations. In distributed domestic battery systems, the Battery Management System (BMS) operates on low-cost, low-power edge microcontrollers with strictly limited computational processing power and memory capacity. Currently, there is a lack of rigorous, fair benchmarking that systematically evaluates established classical machine learning algorithms against deep sequential networks across both predictive precision and computational resource cost-effectiveness.</w:t>
      </w:r>
    </w:p>
    <w:p>
      <w:pPr>
        <w:pStyle w:val="Heading2"/>
      </w:pPr>
      <w:r>
        <w:t>1.3 Project Aim and Scope</w:t>
      </w:r>
    </w:p>
    <w:p>
      <w:r>
        <w:t>The overarching aim of this thesis is to provide a comprehensive, multi-dimensional comparative benchmark between conventional machine learning models (Support Vector Regression, Random Forest, Extreme Gradient Boosting) and deep sequential architectures (Multi-Layer Perceptron, 1D-CNN, and Long Short-Term Memory networks) for battery Remaining Useful Life prediction. Utilizing the standardized NASA Ames Prognostics Center of Excellence (PCoE) 18650 lithium-ion cycling dataset, this research establishes a standardized prognostic pipeline to evaluate models across predictive accuracy, industrial safety alignment, inference latency, memory footprint, and resilience against rest-period capacity regeneration. Ultimately, this project delivers actionable design guidelines for implementing high-accuracy, computationally efficient prognostic algorithms on resource-constrained embedded BMS hardware.</w:t>
      </w:r>
    </w:p>
    <w:p>
      <w:pPr>
        <w:pStyle w:val="Heading1"/>
      </w:pPr>
      <w:r>
        <w:t>2. Background and Literature Review</w:t>
      </w:r>
    </w:p>
    <w:p>
      <w:pPr>
        <w:pStyle w:val="Heading2"/>
      </w:pPr>
      <w:r>
        <w:t>2.1 Major Models Implemented in Battery Prognostics</w:t>
      </w:r>
    </w:p>
    <w:p>
      <w:r>
        <w:t>Data-driven prognostic methodologies for battery Remaining Useful Life (RUL) estimation in existing literature are predominantly categorized into two foundational paradigm families: Conventional Tabular Machine Learning (Classical ML) and Deep Sequential Recurrent Architectures (LSTM/BiLSTM). These two paradigm families present a fundamental engineering trade-off between temporal memory capacity and edge computational efficiency:</w:t>
        <w:br/>
        <w:br/>
        <w:t>1. Conventional Tabular Machine Learning (SVR, Random Forest, XGBoost):</w:t>
        <w:br/>
        <w:t>Classical ML models operate on a point-in-time cross-sectional framework, mapping health indicators extracted from a single cycle directly to the target RUL under an independent and identically distributed (i.i.d.) assumption. The primary advantage of algorithms like Extreme Gradient Boosting (XGBoost), Random Forest (RF), and Support Vector Regression (SVR with RBF kernel) lies in their exceptional computational cost-effectiveness: they execute inference in sub-millisecond latency (&lt; 1 ms), require minimal memory footprints (tens of kilobytes), and demonstrate high stability against overfitting on small benchmark sample sizes [4], [5], [6]. Consequently, they represent the most viable candidates for low-cost microcontrollers within residential Battery Management Systems (BMS). However, because classical ML lacks historical temporal memory across consecutive cycles, it is inherently vulnerable to localized non-monotonic disturbances—frequently misinterpreting temporary rest-period capacity regeneration spikes as genuine battery rejuvenation, which results in erratic prognostic oscillations.</w:t>
        <w:br/>
        <w:br/>
        <w:t>2. Deep Sequential Recurrent Architectures (LSTM, BiLSTM):</w:t>
        <w:br/>
        <w:t>In contrast, Long Short-Term Memory networks process degradation data across multi-cycle sliding temporal windows (e.g., sequences of 5–10 consecutive cycles) [7], [8]. Through specialized internal gating mechanisms—comprising the forget gate (f_t), input gate (i_t), and output gate (o_t) regulating a persistent cell state (C_t)—LSTMs maintain long-term memory of cumulative electrochemical degradation. This sequential memory allows the network to distinguish temporary ion-relaxation recovery from true long-term aging, effectively smoothing out capacity regeneration anomalies and capturing late-stage non-linear degradation momentum (the accelerated 'knee-point'). However, these capabilities come at a substantial computational penalty: LSTMs demand extensive matrix operations and floating-point activation functions, resulting in 10- to 20-fold higher inference latency (10 to 15 ms) and megabyte-level memory footprints, while carrying heightened overfitting risks under limited training samples.</w:t>
        <w:br/>
        <w:br/>
        <w:t>Therefore, this research establishes an empirical benchmarking framework to determine whether the temporal resilience and marginal accuracy gains of deep sequential networks justify their hardware resource overhead compared to lightweight, cost-effective classical ML baselines in residential BESS environments.</w:t>
      </w:r>
    </w:p>
    <w:p>
      <w:pPr>
        <w:pStyle w:val="Heading2"/>
      </w:pPr>
      <w:r>
        <w:t>2.2 Lithium-Ion Battery Degradation: Definition and Mathematical Formulation</w:t>
      </w:r>
    </w:p>
    <w:p>
      <w:r>
        <w:t>This research grounds its empirical investigation in the standardized NASA Ames Prognostics Center of Excellence (PCoE) benchmark dataset, which evaluates commercial 18650 cylindrical cells featuring Lithium Cobalt Oxide (LiCoO2) cathodes and graphite anodes, rated at a nominal capacity of 2.0 Ah [2], [3].</w:t>
        <w:br/>
        <w:br/>
        <w:t>Under continuous CC-CV charging (1.5 A to 4.2 V) and 2.0 A constant current discharging, degradation is driven by three coupled physical mechanisms:</w:t>
        <w:br/>
        <w:t>1. Loss of Lithium Inventory (LLI): Driven by the irreversible growth and fracturing of the Solid Electrolyte Interphase (SEI) passivation layer on the graphite anode, permanently consuming cyclable Li+ ions.</w:t>
        <w:br/>
        <w:t>2. Loss of Active Material (LAM): Mechanical stress induced by volume changes during lithiation/delithiation micro-cracks active cathode particles, isolating electrode fragments from electrical contact.</w:t>
        <w:br/>
        <w:t>3. Impedance Escalation: Electrolyte decomposition elevates internal ohmic resistance (Re) and solid-electrolyte charge-transfer resistance (Rct), measured via Electrochemical Impedance Spectroscopy (EIS, 0.1 Hz to 5 kHz).</w:t>
      </w:r>
    </w:p>
    <w:p>
      <w:r>
        <w:t>Mathematical Formulations of SOH and RUL:</w:t>
        <w:br/>
        <w:t>State of Health (SoH) at cycle k is formulated relative to nominal rating:</w:t>
        <w:br/>
        <w:t xml:space="preserve">    SoH_k = (Q_k / Q_nominal) * 100% = (Q_k / 2.0 Ah) * 100%       (Equation 1)</w:t>
        <w:br/>
        <w:br/>
        <w:t>NASA establishes the End-of-Life (EOL) failure threshold at a 30% capacity fade from nominal rating (Q_EOL = 1.40 Ah, SoH = 70%). The ground-truth Remaining Useful Life (RUL) at cycle k is defined as:</w:t>
        <w:br/>
        <w:t xml:space="preserve">    RUL_k = max(0, k_EOL - k)                                      (Equation 2)</w:t>
        <w:br/>
        <w:br/>
        <w:t>where k_EOL is the cycle index where capacity reaches 1.40 Ah. Empirical cycle verification on the NASA benchmark cells:</w:t>
        <w:br/>
        <w:t>• Cell B0005 (2.7 V cutoff): Reaches EOL at cycle k_EOL = 125 (initial capacity 1.856 Ah).</w:t>
        <w:br/>
        <w:t>• Cell B0006 (2.5 V cutoff): Reaches EOL at cycle k_EOL = 109 (initial capacity 2.035 Ah).</w:t>
        <w:br/>
        <w:t>• Cell B0018 (2.5 V cutoff): Reaches EOL at cycle k_EOL = 97 (initial capacity 1.855 Ah).</w:t>
        <w:br/>
        <w:t>• Cell B0007 (2.2 V cutoff): Finishes 168 cycles marginally above threshold at 1.43 Ah.</w:t>
      </w:r>
    </w:p>
    <w:p>
      <w:r>
        <w:t>Capacity Regeneration (Rest Recovery): A prominent non-linear characteristic in the NASA dataset is capacity regeneration. Operational rest intervals allow concentration polarization to dissipate and lithium ions to redistribute uniformly. This ion relaxation produces temporary capacity surges (0.05 to 0.08 Ah) in subsequent cycles, introducing non-monotonic noise that challenges static tabular regression algorithms.</w:t>
      </w:r>
    </w:p>
    <w:p>
      <w:pPr>
        <w:pStyle w:val="Heading2"/>
      </w:pPr>
      <w:r>
        <w:t>2.3 Health Indicator (HI) Feature Extraction</w:t>
      </w:r>
    </w:p>
    <w:p>
      <w:r>
        <w:t>Because full-depth discharge capacity integration is rarely feasible in operational BESS, indirect Health Indicators (HIs) are extracted from partial sensor streams:</w:t>
        <w:br/>
        <w:t>• Discharge Duration (Δt): Total discharge time per cycle, contracting monotonically as capacity fades.</w:t>
        <w:br/>
        <w:t>• Partial Voltage Drop Time (Δt_3.8V-&gt;3.4V): Elapsed time across a stable intermediate voltage interval, robust to partial cycling.</w:t>
        <w:br/>
        <w:t>• Peak Surface Temperature Rise (ΔT_max): Thermal elevation driven by Joule heating (I^2 * R), directly reflecting internal resistance.</w:t>
        <w:br/>
        <w:t>• EIS Impedance Parameters (Re, Rct): High-to-mid frequency ohmic and polarization resistances.</w:t>
      </w:r>
    </w:p>
    <w:p>
      <w:pPr>
        <w:pStyle w:val="Heading2"/>
      </w:pPr>
      <w:r>
        <w:t>2.4 Summary of Knowledge Gaps &amp; Research Matrix</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1B4F72"/>
            <w:tcMar>
              <w:top w:w="80" w:type="dxa"/>
              <w:bottom w:w="80" w:type="dxa"/>
              <w:left w:w="90" w:type="dxa"/>
              <w:right w:w="90" w:type="dxa"/>
            </w:tcMar>
          </w:tcPr>
          <w:p>
            <w:r>
              <w:rPr>
                <w:b/>
                <w:color w:val="FFFFFF"/>
                <w:sz w:val="18"/>
              </w:rPr>
              <w:t>Evaluated Dimension</w:t>
            </w:r>
          </w:p>
        </w:tc>
        <w:tc>
          <w:tcPr>
            <w:tcW w:type="dxa" w:w="2257"/>
            <w:shd w:fill="1B4F72"/>
            <w:tcMar>
              <w:top w:w="80" w:type="dxa"/>
              <w:bottom w:w="80" w:type="dxa"/>
              <w:left w:w="90" w:type="dxa"/>
              <w:right w:w="90" w:type="dxa"/>
            </w:tcMar>
          </w:tcPr>
          <w:p>
            <w:r>
              <w:rPr>
                <w:b/>
                <w:color w:val="FFFFFF"/>
                <w:sz w:val="18"/>
              </w:rPr>
              <w:t>Current Literature State</w:t>
            </w:r>
          </w:p>
        </w:tc>
        <w:tc>
          <w:tcPr>
            <w:tcW w:type="dxa" w:w="2257"/>
            <w:shd w:fill="1B4F72"/>
            <w:tcMar>
              <w:top w:w="80" w:type="dxa"/>
              <w:bottom w:w="80" w:type="dxa"/>
              <w:left w:w="90" w:type="dxa"/>
              <w:right w:w="90" w:type="dxa"/>
            </w:tcMar>
          </w:tcPr>
          <w:p>
            <w:r>
              <w:rPr>
                <w:b/>
                <w:color w:val="FFFFFF"/>
                <w:sz w:val="18"/>
              </w:rPr>
              <w:t>Identified Knowledge Gap</w:t>
            </w:r>
          </w:p>
        </w:tc>
        <w:tc>
          <w:tcPr>
            <w:tcW w:type="dxa" w:w="2257"/>
            <w:shd w:fill="1B4F72"/>
            <w:tcMar>
              <w:top w:w="80" w:type="dxa"/>
              <w:bottom w:w="80" w:type="dxa"/>
              <w:left w:w="90" w:type="dxa"/>
              <w:right w:w="90" w:type="dxa"/>
            </w:tcMar>
          </w:tcPr>
          <w:p>
            <w:r>
              <w:rPr>
                <w:b/>
                <w:color w:val="FFFFFF"/>
                <w:sz w:val="18"/>
              </w:rPr>
              <w:t>Thesis Contribution</w:t>
            </w:r>
          </w:p>
        </w:tc>
      </w:tr>
      <w:tr>
        <w:tc>
          <w:tcPr>
            <w:tcW w:type="dxa" w:w="2257"/>
            <w:tcMar>
              <w:top w:w="60" w:type="dxa"/>
              <w:bottom w:w="60" w:type="dxa"/>
              <w:left w:w="80" w:type="dxa"/>
              <w:right w:w="80" w:type="dxa"/>
            </w:tcMar>
          </w:tcPr>
          <w:p>
            <w:r>
              <w:rPr>
                <w:sz w:val="17"/>
              </w:rPr>
              <w:t>Hardware &amp; Edge Cost</w:t>
            </w:r>
          </w:p>
        </w:tc>
        <w:tc>
          <w:tcPr>
            <w:tcW w:type="dxa" w:w="2257"/>
            <w:tcMar>
              <w:top w:w="60" w:type="dxa"/>
              <w:bottom w:w="60" w:type="dxa"/>
              <w:left w:w="80" w:type="dxa"/>
              <w:right w:w="80" w:type="dxa"/>
            </w:tcMar>
          </w:tcPr>
          <w:p>
            <w:r>
              <w:rPr>
                <w:sz w:val="17"/>
              </w:rPr>
              <w:t>Focuses on complex deep networks on GPU/cloud servers.</w:t>
            </w:r>
          </w:p>
        </w:tc>
        <w:tc>
          <w:tcPr>
            <w:tcW w:type="dxa" w:w="2257"/>
            <w:tcMar>
              <w:top w:w="60" w:type="dxa"/>
              <w:bottom w:w="60" w:type="dxa"/>
              <w:left w:w="80" w:type="dxa"/>
              <w:right w:w="80" w:type="dxa"/>
            </w:tcMar>
          </w:tcPr>
          <w:p>
            <w:r>
              <w:rPr>
                <w:sz w:val="17"/>
              </w:rPr>
              <w:t>Gap 1: Ignores inference latency and memory constraints of residential BMS microcontrollers.</w:t>
            </w:r>
          </w:p>
        </w:tc>
        <w:tc>
          <w:tcPr>
            <w:tcW w:type="dxa" w:w="2257"/>
            <w:tcMar>
              <w:top w:w="60" w:type="dxa"/>
              <w:bottom w:w="60" w:type="dxa"/>
              <w:left w:w="80" w:type="dxa"/>
              <w:right w:w="80" w:type="dxa"/>
            </w:tcMar>
          </w:tcPr>
          <w:p>
            <w:r>
              <w:rPr>
                <w:sz w:val="17"/>
              </w:rPr>
              <w:t>Performs an apples-to-apples benchmark evaluating Accuracy vs. Latency vs. Memory Footprint across ML, DL, and LSTM.</w:t>
            </w:r>
          </w:p>
        </w:tc>
      </w:tr>
      <w:tr>
        <w:tc>
          <w:tcPr>
            <w:tcW w:type="dxa" w:w="2257"/>
            <w:tcMar>
              <w:top w:w="60" w:type="dxa"/>
              <w:bottom w:w="60" w:type="dxa"/>
              <w:left w:w="80" w:type="dxa"/>
              <w:right w:w="80" w:type="dxa"/>
            </w:tcMar>
            <w:shd w:fill="F2F4F4"/>
          </w:tcPr>
          <w:p>
            <w:r>
              <w:rPr>
                <w:sz w:val="17"/>
              </w:rPr>
              <w:t>Industrial Safety Risk</w:t>
            </w:r>
          </w:p>
        </w:tc>
        <w:tc>
          <w:tcPr>
            <w:tcW w:type="dxa" w:w="2257"/>
            <w:tcMar>
              <w:top w:w="60" w:type="dxa"/>
              <w:bottom w:w="60" w:type="dxa"/>
              <w:left w:w="80" w:type="dxa"/>
              <w:right w:w="80" w:type="dxa"/>
            </w:tcMar>
            <w:shd w:fill="F2F4F4"/>
          </w:tcPr>
          <w:p>
            <w:r>
              <w:rPr>
                <w:sz w:val="17"/>
              </w:rPr>
              <w:t>Relies exclusively on symmetric error metrics (RMSE, MAE).</w:t>
            </w:r>
          </w:p>
        </w:tc>
        <w:tc>
          <w:tcPr>
            <w:tcW w:type="dxa" w:w="2257"/>
            <w:tcMar>
              <w:top w:w="60" w:type="dxa"/>
              <w:bottom w:w="60" w:type="dxa"/>
              <w:left w:w="80" w:type="dxa"/>
              <w:right w:w="80" w:type="dxa"/>
            </w:tcMar>
            <w:shd w:fill="F2F4F4"/>
          </w:tcPr>
          <w:p>
            <w:r>
              <w:rPr>
                <w:sz w:val="17"/>
              </w:rPr>
              <w:t>Gap 2: Fails to penalize catastrophic late prediction errors (overestimation) that risk thermal runaway.</w:t>
            </w:r>
          </w:p>
        </w:tc>
        <w:tc>
          <w:tcPr>
            <w:tcW w:type="dxa" w:w="2257"/>
            <w:tcMar>
              <w:top w:w="60" w:type="dxa"/>
              <w:bottom w:w="60" w:type="dxa"/>
              <w:left w:w="80" w:type="dxa"/>
              <w:right w:w="80" w:type="dxa"/>
            </w:tcMar>
            <w:shd w:fill="F2F4F4"/>
          </w:tcPr>
          <w:p>
            <w:r>
              <w:rPr>
                <w:sz w:val="17"/>
              </w:rPr>
              <w:t>Evaluates all models under the NASA Asymmetric PHM Penalty Score to enforce fail-safe industrial alignment.</w:t>
            </w:r>
          </w:p>
        </w:tc>
      </w:tr>
      <w:tr>
        <w:tc>
          <w:tcPr>
            <w:tcW w:type="dxa" w:w="2257"/>
            <w:tcMar>
              <w:top w:w="60" w:type="dxa"/>
              <w:bottom w:w="60" w:type="dxa"/>
              <w:left w:w="80" w:type="dxa"/>
              <w:right w:w="80" w:type="dxa"/>
            </w:tcMar>
          </w:tcPr>
          <w:p>
            <w:r>
              <w:rPr>
                <w:sz w:val="17"/>
              </w:rPr>
              <w:t>Regeneration Handling</w:t>
            </w:r>
          </w:p>
        </w:tc>
        <w:tc>
          <w:tcPr>
            <w:tcW w:type="dxa" w:w="2257"/>
            <w:tcMar>
              <w:top w:w="60" w:type="dxa"/>
              <w:bottom w:w="60" w:type="dxa"/>
              <w:left w:w="80" w:type="dxa"/>
              <w:right w:w="80" w:type="dxa"/>
            </w:tcMar>
          </w:tcPr>
          <w:p>
            <w:r>
              <w:rPr>
                <w:sz w:val="17"/>
              </w:rPr>
              <w:t>Assumes monotonic decay or applies aggressive smoothing.</w:t>
            </w:r>
          </w:p>
        </w:tc>
        <w:tc>
          <w:tcPr>
            <w:tcW w:type="dxa" w:w="2257"/>
            <w:tcMar>
              <w:top w:w="60" w:type="dxa"/>
              <w:bottom w:w="60" w:type="dxa"/>
              <w:left w:w="80" w:type="dxa"/>
              <w:right w:w="80" w:type="dxa"/>
            </w:tcMar>
          </w:tcPr>
          <w:p>
            <w:r>
              <w:rPr>
                <w:sz w:val="17"/>
              </w:rPr>
              <w:t>Gap 3: Lacks quantitative comparison on how tabular ML vs. gated LSTM architectures respond to recovery spikes.</w:t>
            </w:r>
          </w:p>
        </w:tc>
        <w:tc>
          <w:tcPr>
            <w:tcW w:type="dxa" w:w="2257"/>
            <w:tcMar>
              <w:top w:w="60" w:type="dxa"/>
              <w:bottom w:w="60" w:type="dxa"/>
              <w:left w:w="80" w:type="dxa"/>
              <w:right w:w="80" w:type="dxa"/>
            </w:tcMar>
          </w:tcPr>
          <w:p>
            <w:r>
              <w:rPr>
                <w:sz w:val="17"/>
              </w:rPr>
              <w:t>Benchmarks trajectory stability during verified recovery intervals on NASA cells (B0005, B0006, B0018).</w:t>
            </w:r>
          </w:p>
        </w:tc>
      </w:tr>
    </w:tbl>
    <w:p>
      <w:pPr>
        <w:spacing w:after="240"/>
      </w:pPr>
    </w:p>
    <w:p>
      <w:pPr>
        <w:pStyle w:val="Heading1"/>
      </w:pPr>
      <w:r>
        <w:t>3. Project Plan and Methodology</w:t>
      </w:r>
    </w:p>
    <w:p>
      <w:pPr>
        <w:pStyle w:val="Heading2"/>
      </w:pPr>
      <w:r>
        <w:t>3.1 Project Aims and Hypotheses</w:t>
      </w:r>
    </w:p>
    <w:p>
      <w:r>
        <w:t>Primary Aim: To construct a standardized, reproducible benchmarking pipeline that evaluates the performance-to-compute trade-off of classical machine learning and deep sequential models for lithium-ion battery RUL prediction under BESS operational constraints.</w:t>
        <w:br/>
        <w:br/>
        <w:t>Key Hypotheses:</w:t>
        <w:br/>
        <w:t>• Hypothesis 1: Tuned gradient boosting (XGBoost) and Random Forest models will achieve predictive accuracy comparable to deep neural networks while reducing inference latency and memory consumption by more than 80%.</w:t>
        <w:br/>
        <w:t>• Hypothesis 2: Recurrent LSTM/BiLSTM architectures will demonstrate superior resilience and lower asymmetric penalty scores during capacity regeneration intervals due to their persistent hidden cell memory.</w:t>
      </w:r>
    </w:p>
    <w:p>
      <w:pPr>
        <w:pStyle w:val="Heading2"/>
      </w:pPr>
      <w:r>
        <w:t>3.2 Research Methodology and Pipeline Design</w:t>
      </w:r>
    </w:p>
    <w:p>
      <w:r>
        <w:t>The proposed experimental workflow is structured into four distinct stages:</w:t>
        <w:br/>
        <w:t>1. Stage 1 (Data Ingestion &amp; Preprocessing): Automated parsing of NASA MATLAB structures (.mat) into clean cycle dataframes. Application of Z-score normalization and outlier filtering.</w:t>
        <w:br/>
        <w:t>2. Stage 2 (Feature Engineering): Extraction of candidate Health Indicators (Δt, Δt_3.8V-&gt;3.4V, ΔT_max, Re, Rct) and correlation analysis via Pearson (r) and Spearman (ρ).</w:t>
        <w:br/>
        <w:t>3. Stage 3 (Model Implementation &amp; Hyperparameter Tuning):</w:t>
        <w:br/>
        <w:t xml:space="preserve">   - Conventional ML: SVR (RBF Kernel), Random Forest (100 trees, depth 6), XGBoost (learning_rate=0.05).</w:t>
        <w:br/>
        <w:t xml:space="preserve">   - Deep Sequential Networks: 1D-CNN (temporal feature extraction) and PyTorch LSTM/BiLSTM (sequence length = 5 cycles).</w:t>
        <w:br/>
        <w:t xml:space="preserve">   - Tuning: 5-Fold Cross-Validation on training cells (B0005, B0006, B0007).</w:t>
        <w:br/>
        <w:t>4. Stage 4 (Strict Out-of-Sample Validation): Comprehensive evaluation on the completely unseen testing cell (B0018).</w:t>
      </w:r>
    </w:p>
    <w:p>
      <w:pPr>
        <w:pStyle w:val="Heading2"/>
      </w:pPr>
      <w:r>
        <w:t>3.3 Success Metrics and Multi-Dimensional Evaluation Framework</w:t>
      </w:r>
    </w:p>
    <w:p>
      <w:r>
        <w:t>To rigorously determine model superiority, a multi-dimensional evaluation framework is established across four axes:</w:t>
        <w:br/>
        <w:t>1. Statistical Accuracy: Root Mean Squared Error (RMSE), Mean Absolute Error (MAE), and Coefficient of Determination (R^2).</w:t>
        <w:br/>
        <w:t>2. Industrial Safety (NASA Asymmetric PHM Score S):</w:t>
        <w:br/>
        <w:t xml:space="preserve">       S = sum(s_i), where s_i = exp(-d_i/13) - 1 for d_i &lt; 0 (early prediction), and s_i = exp(d_i/10) - 1 for d_i &gt;= 0 (late prediction).</w:t>
        <w:br/>
        <w:t>3. Computational Cost: Training execution time (s), single-cycle inference latency (ms), and model parameter memory footprint (KB).</w:t>
        <w:br/>
        <w:t>4. Robustness: Maximum error fluctuation during rest-induced capacity recovery intervals.</w:t>
      </w: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4F72"/>
            <w:tcMar>
              <w:top w:w="80" w:type="dxa"/>
              <w:bottom w:w="80" w:type="dxa"/>
              <w:left w:w="70" w:type="dxa"/>
              <w:right w:w="70" w:type="dxa"/>
            </w:tcMar>
          </w:tcPr>
          <w:p>
            <w:r>
              <w:rPr>
                <w:b/>
                <w:color w:val="FFFFFF"/>
                <w:sz w:val="17"/>
              </w:rPr>
              <w:t>Model Family</w:t>
            </w:r>
          </w:p>
        </w:tc>
        <w:tc>
          <w:tcPr>
            <w:tcW w:type="dxa" w:w="1290"/>
            <w:shd w:fill="1B4F72"/>
            <w:tcMar>
              <w:top w:w="80" w:type="dxa"/>
              <w:bottom w:w="80" w:type="dxa"/>
              <w:left w:w="70" w:type="dxa"/>
              <w:right w:w="70" w:type="dxa"/>
            </w:tcMar>
          </w:tcPr>
          <w:p>
            <w:r>
              <w:rPr>
                <w:b/>
                <w:color w:val="FFFFFF"/>
                <w:sz w:val="17"/>
              </w:rPr>
              <w:t>Algorithm</w:t>
            </w:r>
          </w:p>
        </w:tc>
        <w:tc>
          <w:tcPr>
            <w:tcW w:type="dxa" w:w="1290"/>
            <w:shd w:fill="1B4F72"/>
            <w:tcMar>
              <w:top w:w="80" w:type="dxa"/>
              <w:bottom w:w="80" w:type="dxa"/>
              <w:left w:w="70" w:type="dxa"/>
              <w:right w:w="70" w:type="dxa"/>
            </w:tcMar>
          </w:tcPr>
          <w:p>
            <w:r>
              <w:rPr>
                <w:b/>
                <w:color w:val="FFFFFF"/>
                <w:sz w:val="17"/>
              </w:rPr>
              <w:t>Target Metric: MAE</w:t>
            </w:r>
          </w:p>
        </w:tc>
        <w:tc>
          <w:tcPr>
            <w:tcW w:type="dxa" w:w="1290"/>
            <w:shd w:fill="1B4F72"/>
            <w:tcMar>
              <w:top w:w="80" w:type="dxa"/>
              <w:bottom w:w="80" w:type="dxa"/>
              <w:left w:w="70" w:type="dxa"/>
              <w:right w:w="70" w:type="dxa"/>
            </w:tcMar>
          </w:tcPr>
          <w:p>
            <w:r>
              <w:rPr>
                <w:b/>
                <w:color w:val="FFFFFF"/>
                <w:sz w:val="17"/>
              </w:rPr>
              <w:t>Target Metric: RMSE</w:t>
            </w:r>
          </w:p>
        </w:tc>
        <w:tc>
          <w:tcPr>
            <w:tcW w:type="dxa" w:w="1290"/>
            <w:shd w:fill="1B4F72"/>
            <w:tcMar>
              <w:top w:w="80" w:type="dxa"/>
              <w:bottom w:w="80" w:type="dxa"/>
              <w:left w:w="70" w:type="dxa"/>
              <w:right w:w="70" w:type="dxa"/>
            </w:tcMar>
          </w:tcPr>
          <w:p>
            <w:r>
              <w:rPr>
                <w:b/>
                <w:color w:val="FFFFFF"/>
                <w:sz w:val="17"/>
              </w:rPr>
              <w:t>Safety Score (S)</w:t>
            </w:r>
          </w:p>
        </w:tc>
        <w:tc>
          <w:tcPr>
            <w:tcW w:type="dxa" w:w="1290"/>
            <w:shd w:fill="1B4F72"/>
            <w:tcMar>
              <w:top w:w="80" w:type="dxa"/>
              <w:bottom w:w="80" w:type="dxa"/>
              <w:left w:w="70" w:type="dxa"/>
              <w:right w:w="70" w:type="dxa"/>
            </w:tcMar>
          </w:tcPr>
          <w:p>
            <w:r>
              <w:rPr>
                <w:b/>
                <w:color w:val="FFFFFF"/>
                <w:sz w:val="17"/>
              </w:rPr>
              <w:t>Latency Target</w:t>
            </w:r>
          </w:p>
        </w:tc>
        <w:tc>
          <w:tcPr>
            <w:tcW w:type="dxa" w:w="1290"/>
            <w:shd w:fill="1B4F72"/>
            <w:tcMar>
              <w:top w:w="80" w:type="dxa"/>
              <w:bottom w:w="80" w:type="dxa"/>
              <w:left w:w="70" w:type="dxa"/>
              <w:right w:w="70" w:type="dxa"/>
            </w:tcMar>
          </w:tcPr>
          <w:p>
            <w:r>
              <w:rPr>
                <w:b/>
                <w:color w:val="FFFFFF"/>
                <w:sz w:val="17"/>
              </w:rPr>
              <w:t>BMS Feasibility</w:t>
            </w:r>
          </w:p>
        </w:tc>
      </w:tr>
      <w:tr>
        <w:tc>
          <w:tcPr>
            <w:tcW w:type="dxa" w:w="1290"/>
            <w:tcMar>
              <w:top w:w="50" w:type="dxa"/>
              <w:bottom w:w="50" w:type="dxa"/>
              <w:left w:w="60" w:type="dxa"/>
              <w:right w:w="60" w:type="dxa"/>
            </w:tcMar>
          </w:tcPr>
          <w:p>
            <w:r>
              <w:rPr>
                <w:sz w:val="16"/>
              </w:rPr>
              <w:t>Classical ML</w:t>
            </w:r>
          </w:p>
        </w:tc>
        <w:tc>
          <w:tcPr>
            <w:tcW w:type="dxa" w:w="1290"/>
            <w:tcMar>
              <w:top w:w="50" w:type="dxa"/>
              <w:bottom w:w="50" w:type="dxa"/>
              <w:left w:w="60" w:type="dxa"/>
              <w:right w:w="60" w:type="dxa"/>
            </w:tcMar>
          </w:tcPr>
          <w:p>
            <w:r>
              <w:rPr>
                <w:sz w:val="16"/>
              </w:rPr>
              <w:t>SVR (RBF Kernel)</w:t>
            </w:r>
          </w:p>
        </w:tc>
        <w:tc>
          <w:tcPr>
            <w:tcW w:type="dxa" w:w="1290"/>
            <w:tcMar>
              <w:top w:w="50" w:type="dxa"/>
              <w:bottom w:w="50" w:type="dxa"/>
              <w:left w:w="60" w:type="dxa"/>
              <w:right w:w="60" w:type="dxa"/>
            </w:tcMar>
          </w:tcPr>
          <w:p>
            <w:r>
              <w:rPr>
                <w:sz w:val="16"/>
              </w:rPr>
              <w:t>&lt; 4.5 Cycles</w:t>
            </w:r>
          </w:p>
        </w:tc>
        <w:tc>
          <w:tcPr>
            <w:tcW w:type="dxa" w:w="1290"/>
            <w:tcMar>
              <w:top w:w="50" w:type="dxa"/>
              <w:bottom w:w="50" w:type="dxa"/>
              <w:left w:w="60" w:type="dxa"/>
              <w:right w:w="60" w:type="dxa"/>
            </w:tcMar>
          </w:tcPr>
          <w:p>
            <w:r>
              <w:rPr>
                <w:sz w:val="16"/>
              </w:rPr>
              <w:t>&lt; 5.5 Cycles</w:t>
            </w:r>
          </w:p>
        </w:tc>
        <w:tc>
          <w:tcPr>
            <w:tcW w:type="dxa" w:w="1290"/>
            <w:tcMar>
              <w:top w:w="50" w:type="dxa"/>
              <w:bottom w:w="50" w:type="dxa"/>
              <w:left w:w="60" w:type="dxa"/>
              <w:right w:w="60" w:type="dxa"/>
            </w:tcMar>
          </w:tcPr>
          <w:p>
            <w:r>
              <w:rPr>
                <w:sz w:val="16"/>
              </w:rPr>
              <w:t>Moderate</w:t>
            </w:r>
          </w:p>
        </w:tc>
        <w:tc>
          <w:tcPr>
            <w:tcW w:type="dxa" w:w="1290"/>
            <w:tcMar>
              <w:top w:w="50" w:type="dxa"/>
              <w:bottom w:w="50" w:type="dxa"/>
              <w:left w:w="60" w:type="dxa"/>
              <w:right w:w="60" w:type="dxa"/>
            </w:tcMar>
          </w:tcPr>
          <w:p>
            <w:r>
              <w:rPr>
                <w:sz w:val="16"/>
              </w:rPr>
              <w:t>&lt; 0.5 ms</w:t>
            </w:r>
          </w:p>
        </w:tc>
        <w:tc>
          <w:tcPr>
            <w:tcW w:type="dxa" w:w="1290"/>
            <w:tcMar>
              <w:top w:w="50" w:type="dxa"/>
              <w:bottom w:w="50" w:type="dxa"/>
              <w:left w:w="60" w:type="dxa"/>
              <w:right w:w="60" w:type="dxa"/>
            </w:tcMar>
          </w:tcPr>
          <w:p>
            <w:r>
              <w:rPr>
                <w:sz w:val="16"/>
              </w:rPr>
              <w:t>Very High (MCU)</w:t>
            </w:r>
          </w:p>
        </w:tc>
      </w:tr>
      <w:tr>
        <w:tc>
          <w:tcPr>
            <w:tcW w:type="dxa" w:w="1290"/>
            <w:tcMar>
              <w:top w:w="50" w:type="dxa"/>
              <w:bottom w:w="50" w:type="dxa"/>
              <w:left w:w="60" w:type="dxa"/>
              <w:right w:w="60" w:type="dxa"/>
            </w:tcMar>
            <w:shd w:fill="F2F4F4"/>
          </w:tcPr>
          <w:p>
            <w:r>
              <w:rPr>
                <w:sz w:val="16"/>
              </w:rPr>
              <w:t>Classical ML</w:t>
            </w:r>
          </w:p>
        </w:tc>
        <w:tc>
          <w:tcPr>
            <w:tcW w:type="dxa" w:w="1290"/>
            <w:tcMar>
              <w:top w:w="50" w:type="dxa"/>
              <w:bottom w:w="50" w:type="dxa"/>
              <w:left w:w="60" w:type="dxa"/>
              <w:right w:w="60" w:type="dxa"/>
            </w:tcMar>
            <w:shd w:fill="F2F4F4"/>
          </w:tcPr>
          <w:p>
            <w:r>
              <w:rPr>
                <w:sz w:val="16"/>
              </w:rPr>
              <w:t>Random Forest</w:t>
            </w:r>
          </w:p>
        </w:tc>
        <w:tc>
          <w:tcPr>
            <w:tcW w:type="dxa" w:w="1290"/>
            <w:tcMar>
              <w:top w:w="50" w:type="dxa"/>
              <w:bottom w:w="50" w:type="dxa"/>
              <w:left w:w="60" w:type="dxa"/>
              <w:right w:w="60" w:type="dxa"/>
            </w:tcMar>
            <w:shd w:fill="F2F4F4"/>
          </w:tcPr>
          <w:p>
            <w:r>
              <w:rPr>
                <w:sz w:val="16"/>
              </w:rPr>
              <w:t>&lt; 4.0 Cycles</w:t>
            </w:r>
          </w:p>
        </w:tc>
        <w:tc>
          <w:tcPr>
            <w:tcW w:type="dxa" w:w="1290"/>
            <w:tcMar>
              <w:top w:w="50" w:type="dxa"/>
              <w:bottom w:w="50" w:type="dxa"/>
              <w:left w:w="60" w:type="dxa"/>
              <w:right w:w="60" w:type="dxa"/>
            </w:tcMar>
            <w:shd w:fill="F2F4F4"/>
          </w:tcPr>
          <w:p>
            <w:r>
              <w:rPr>
                <w:sz w:val="16"/>
              </w:rPr>
              <w:t>&lt; 5.0 Cycles</w:t>
            </w:r>
          </w:p>
        </w:tc>
        <w:tc>
          <w:tcPr>
            <w:tcW w:type="dxa" w:w="1290"/>
            <w:tcMar>
              <w:top w:w="50" w:type="dxa"/>
              <w:bottom w:w="50" w:type="dxa"/>
              <w:left w:w="60" w:type="dxa"/>
              <w:right w:w="60" w:type="dxa"/>
            </w:tcMar>
            <w:shd w:fill="F2F4F4"/>
          </w:tcPr>
          <w:p>
            <w:r>
              <w:rPr>
                <w:sz w:val="16"/>
              </w:rPr>
              <w:t>Low-Moderate</w:t>
            </w:r>
          </w:p>
        </w:tc>
        <w:tc>
          <w:tcPr>
            <w:tcW w:type="dxa" w:w="1290"/>
            <w:tcMar>
              <w:top w:w="50" w:type="dxa"/>
              <w:bottom w:w="50" w:type="dxa"/>
              <w:left w:w="60" w:type="dxa"/>
              <w:right w:w="60" w:type="dxa"/>
            </w:tcMar>
            <w:shd w:fill="F2F4F4"/>
          </w:tcPr>
          <w:p>
            <w:r>
              <w:rPr>
                <w:sz w:val="16"/>
              </w:rPr>
              <w:t>&lt; 1.5 ms</w:t>
            </w:r>
          </w:p>
        </w:tc>
        <w:tc>
          <w:tcPr>
            <w:tcW w:type="dxa" w:w="1290"/>
            <w:tcMar>
              <w:top w:w="50" w:type="dxa"/>
              <w:bottom w:w="50" w:type="dxa"/>
              <w:left w:w="60" w:type="dxa"/>
              <w:right w:w="60" w:type="dxa"/>
            </w:tcMar>
            <w:shd w:fill="F2F4F4"/>
          </w:tcPr>
          <w:p>
            <w:r>
              <w:rPr>
                <w:sz w:val="16"/>
              </w:rPr>
              <w:t>Very High (MCU)</w:t>
            </w:r>
          </w:p>
        </w:tc>
      </w:tr>
      <w:tr>
        <w:tc>
          <w:tcPr>
            <w:tcW w:type="dxa" w:w="1290"/>
            <w:tcMar>
              <w:top w:w="50" w:type="dxa"/>
              <w:bottom w:w="50" w:type="dxa"/>
              <w:left w:w="60" w:type="dxa"/>
              <w:right w:w="60" w:type="dxa"/>
            </w:tcMar>
          </w:tcPr>
          <w:p>
            <w:r>
              <w:rPr>
                <w:sz w:val="16"/>
              </w:rPr>
              <w:t>Classical ML</w:t>
            </w:r>
          </w:p>
        </w:tc>
        <w:tc>
          <w:tcPr>
            <w:tcW w:type="dxa" w:w="1290"/>
            <w:tcMar>
              <w:top w:w="50" w:type="dxa"/>
              <w:bottom w:w="50" w:type="dxa"/>
              <w:left w:w="60" w:type="dxa"/>
              <w:right w:w="60" w:type="dxa"/>
            </w:tcMar>
          </w:tcPr>
          <w:p>
            <w:r>
              <w:rPr>
                <w:sz w:val="16"/>
              </w:rPr>
              <w:t>XGBoost Regressor</w:t>
            </w:r>
          </w:p>
        </w:tc>
        <w:tc>
          <w:tcPr>
            <w:tcW w:type="dxa" w:w="1290"/>
            <w:tcMar>
              <w:top w:w="50" w:type="dxa"/>
              <w:bottom w:w="50" w:type="dxa"/>
              <w:left w:w="60" w:type="dxa"/>
              <w:right w:w="60" w:type="dxa"/>
            </w:tcMar>
          </w:tcPr>
          <w:p>
            <w:r>
              <w:rPr>
                <w:sz w:val="16"/>
              </w:rPr>
              <w:t>&lt; 3.5 Cycles</w:t>
            </w:r>
          </w:p>
        </w:tc>
        <w:tc>
          <w:tcPr>
            <w:tcW w:type="dxa" w:w="1290"/>
            <w:tcMar>
              <w:top w:w="50" w:type="dxa"/>
              <w:bottom w:w="50" w:type="dxa"/>
              <w:left w:w="60" w:type="dxa"/>
              <w:right w:w="60" w:type="dxa"/>
            </w:tcMar>
          </w:tcPr>
          <w:p>
            <w:r>
              <w:rPr>
                <w:sz w:val="16"/>
              </w:rPr>
              <w:t>&lt; 4.5 Cycles</w:t>
            </w:r>
          </w:p>
        </w:tc>
        <w:tc>
          <w:tcPr>
            <w:tcW w:type="dxa" w:w="1290"/>
            <w:tcMar>
              <w:top w:w="50" w:type="dxa"/>
              <w:bottom w:w="50" w:type="dxa"/>
              <w:left w:w="60" w:type="dxa"/>
              <w:right w:w="60" w:type="dxa"/>
            </w:tcMar>
          </w:tcPr>
          <w:p>
            <w:r>
              <w:rPr>
                <w:sz w:val="16"/>
              </w:rPr>
              <w:t>Low</w:t>
            </w:r>
          </w:p>
        </w:tc>
        <w:tc>
          <w:tcPr>
            <w:tcW w:type="dxa" w:w="1290"/>
            <w:tcMar>
              <w:top w:w="50" w:type="dxa"/>
              <w:bottom w:w="50" w:type="dxa"/>
              <w:left w:w="60" w:type="dxa"/>
              <w:right w:w="60" w:type="dxa"/>
            </w:tcMar>
          </w:tcPr>
          <w:p>
            <w:r>
              <w:rPr>
                <w:sz w:val="16"/>
              </w:rPr>
              <w:t>&lt; 1.0 ms</w:t>
            </w:r>
          </w:p>
        </w:tc>
        <w:tc>
          <w:tcPr>
            <w:tcW w:type="dxa" w:w="1290"/>
            <w:tcMar>
              <w:top w:w="50" w:type="dxa"/>
              <w:bottom w:w="50" w:type="dxa"/>
              <w:left w:w="60" w:type="dxa"/>
              <w:right w:w="60" w:type="dxa"/>
            </w:tcMar>
          </w:tcPr>
          <w:p>
            <w:r>
              <w:rPr>
                <w:sz w:val="16"/>
              </w:rPr>
              <w:t>Very High (MCU)</w:t>
            </w:r>
          </w:p>
        </w:tc>
      </w:tr>
      <w:tr>
        <w:tc>
          <w:tcPr>
            <w:tcW w:type="dxa" w:w="1290"/>
            <w:tcMar>
              <w:top w:w="50" w:type="dxa"/>
              <w:bottom w:w="50" w:type="dxa"/>
              <w:left w:w="60" w:type="dxa"/>
              <w:right w:w="60" w:type="dxa"/>
            </w:tcMar>
            <w:shd w:fill="F2F4F4"/>
          </w:tcPr>
          <w:p>
            <w:r>
              <w:rPr>
                <w:sz w:val="16"/>
              </w:rPr>
              <w:t>Deep Learning</w:t>
            </w:r>
          </w:p>
        </w:tc>
        <w:tc>
          <w:tcPr>
            <w:tcW w:type="dxa" w:w="1290"/>
            <w:tcMar>
              <w:top w:w="50" w:type="dxa"/>
              <w:bottom w:w="50" w:type="dxa"/>
              <w:left w:w="60" w:type="dxa"/>
              <w:right w:w="60" w:type="dxa"/>
            </w:tcMar>
            <w:shd w:fill="F2F4F4"/>
          </w:tcPr>
          <w:p>
            <w:r>
              <w:rPr>
                <w:sz w:val="16"/>
              </w:rPr>
              <w:t>MLP / 1D-CNN</w:t>
            </w:r>
          </w:p>
        </w:tc>
        <w:tc>
          <w:tcPr>
            <w:tcW w:type="dxa" w:w="1290"/>
            <w:tcMar>
              <w:top w:w="50" w:type="dxa"/>
              <w:bottom w:w="50" w:type="dxa"/>
              <w:left w:w="60" w:type="dxa"/>
              <w:right w:w="60" w:type="dxa"/>
            </w:tcMar>
            <w:shd w:fill="F2F4F4"/>
          </w:tcPr>
          <w:p>
            <w:r>
              <w:rPr>
                <w:sz w:val="16"/>
              </w:rPr>
              <w:t>&lt; 3.5 Cycles</w:t>
            </w:r>
          </w:p>
        </w:tc>
        <w:tc>
          <w:tcPr>
            <w:tcW w:type="dxa" w:w="1290"/>
            <w:tcMar>
              <w:top w:w="50" w:type="dxa"/>
              <w:bottom w:w="50" w:type="dxa"/>
              <w:left w:w="60" w:type="dxa"/>
              <w:right w:w="60" w:type="dxa"/>
            </w:tcMar>
            <w:shd w:fill="F2F4F4"/>
          </w:tcPr>
          <w:p>
            <w:r>
              <w:rPr>
                <w:sz w:val="16"/>
              </w:rPr>
              <w:t>&lt; 4.5 Cycles</w:t>
            </w:r>
          </w:p>
        </w:tc>
        <w:tc>
          <w:tcPr>
            <w:tcW w:type="dxa" w:w="1290"/>
            <w:tcMar>
              <w:top w:w="50" w:type="dxa"/>
              <w:bottom w:w="50" w:type="dxa"/>
              <w:left w:w="60" w:type="dxa"/>
              <w:right w:w="60" w:type="dxa"/>
            </w:tcMar>
            <w:shd w:fill="F2F4F4"/>
          </w:tcPr>
          <w:p>
            <w:r>
              <w:rPr>
                <w:sz w:val="16"/>
              </w:rPr>
              <w:t>Low</w:t>
            </w:r>
          </w:p>
        </w:tc>
        <w:tc>
          <w:tcPr>
            <w:tcW w:type="dxa" w:w="1290"/>
            <w:tcMar>
              <w:top w:w="50" w:type="dxa"/>
              <w:bottom w:w="50" w:type="dxa"/>
              <w:left w:w="60" w:type="dxa"/>
              <w:right w:w="60" w:type="dxa"/>
            </w:tcMar>
            <w:shd w:fill="F2F4F4"/>
          </w:tcPr>
          <w:p>
            <w:r>
              <w:rPr>
                <w:sz w:val="16"/>
              </w:rPr>
              <w:t>&lt; 4.0 ms</w:t>
            </w:r>
          </w:p>
        </w:tc>
        <w:tc>
          <w:tcPr>
            <w:tcW w:type="dxa" w:w="1290"/>
            <w:tcMar>
              <w:top w:w="50" w:type="dxa"/>
              <w:bottom w:w="50" w:type="dxa"/>
              <w:left w:w="60" w:type="dxa"/>
              <w:right w:w="60" w:type="dxa"/>
            </w:tcMar>
            <w:shd w:fill="F2F4F4"/>
          </w:tcPr>
          <w:p>
            <w:r>
              <w:rPr>
                <w:sz w:val="16"/>
              </w:rPr>
              <w:t>High (DSP/MCU)</w:t>
            </w:r>
          </w:p>
        </w:tc>
      </w:tr>
      <w:tr>
        <w:tc>
          <w:tcPr>
            <w:tcW w:type="dxa" w:w="1290"/>
            <w:tcMar>
              <w:top w:w="50" w:type="dxa"/>
              <w:bottom w:w="50" w:type="dxa"/>
              <w:left w:w="60" w:type="dxa"/>
              <w:right w:w="60" w:type="dxa"/>
            </w:tcMar>
          </w:tcPr>
          <w:p>
            <w:r>
              <w:rPr>
                <w:sz w:val="16"/>
              </w:rPr>
              <w:t>Sequential DL</w:t>
            </w:r>
          </w:p>
        </w:tc>
        <w:tc>
          <w:tcPr>
            <w:tcW w:type="dxa" w:w="1290"/>
            <w:tcMar>
              <w:top w:w="50" w:type="dxa"/>
              <w:bottom w:w="50" w:type="dxa"/>
              <w:left w:w="60" w:type="dxa"/>
              <w:right w:w="60" w:type="dxa"/>
            </w:tcMar>
          </w:tcPr>
          <w:p>
            <w:r>
              <w:rPr>
                <w:sz w:val="16"/>
              </w:rPr>
              <w:t>LSTM Network</w:t>
            </w:r>
          </w:p>
        </w:tc>
        <w:tc>
          <w:tcPr>
            <w:tcW w:type="dxa" w:w="1290"/>
            <w:tcMar>
              <w:top w:w="50" w:type="dxa"/>
              <w:bottom w:w="50" w:type="dxa"/>
              <w:left w:w="60" w:type="dxa"/>
              <w:right w:w="60" w:type="dxa"/>
            </w:tcMar>
          </w:tcPr>
          <w:p>
            <w:r>
              <w:rPr>
                <w:sz w:val="16"/>
              </w:rPr>
              <w:t>&lt; 3.0 Cycles</w:t>
            </w:r>
          </w:p>
        </w:tc>
        <w:tc>
          <w:tcPr>
            <w:tcW w:type="dxa" w:w="1290"/>
            <w:tcMar>
              <w:top w:w="50" w:type="dxa"/>
              <w:bottom w:w="50" w:type="dxa"/>
              <w:left w:w="60" w:type="dxa"/>
              <w:right w:w="60" w:type="dxa"/>
            </w:tcMar>
          </w:tcPr>
          <w:p>
            <w:r>
              <w:rPr>
                <w:sz w:val="16"/>
              </w:rPr>
              <w:t>&lt; 3.8 Cycles</w:t>
            </w:r>
          </w:p>
        </w:tc>
        <w:tc>
          <w:tcPr>
            <w:tcW w:type="dxa" w:w="1290"/>
            <w:tcMar>
              <w:top w:w="50" w:type="dxa"/>
              <w:bottom w:w="50" w:type="dxa"/>
              <w:left w:w="60" w:type="dxa"/>
              <w:right w:w="60" w:type="dxa"/>
            </w:tcMar>
          </w:tcPr>
          <w:p>
            <w:r>
              <w:rPr>
                <w:sz w:val="16"/>
              </w:rPr>
              <w:t>Very Low</w:t>
            </w:r>
          </w:p>
        </w:tc>
        <w:tc>
          <w:tcPr>
            <w:tcW w:type="dxa" w:w="1290"/>
            <w:tcMar>
              <w:top w:w="50" w:type="dxa"/>
              <w:bottom w:w="50" w:type="dxa"/>
              <w:left w:w="60" w:type="dxa"/>
              <w:right w:w="60" w:type="dxa"/>
            </w:tcMar>
          </w:tcPr>
          <w:p>
            <w:r>
              <w:rPr>
                <w:sz w:val="16"/>
              </w:rPr>
              <w:t>&lt; 10.0 ms</w:t>
            </w:r>
          </w:p>
        </w:tc>
        <w:tc>
          <w:tcPr>
            <w:tcW w:type="dxa" w:w="1290"/>
            <w:tcMar>
              <w:top w:w="50" w:type="dxa"/>
              <w:bottom w:w="50" w:type="dxa"/>
              <w:left w:w="60" w:type="dxa"/>
              <w:right w:w="60" w:type="dxa"/>
            </w:tcMar>
          </w:tcPr>
          <w:p>
            <w:r>
              <w:rPr>
                <w:sz w:val="16"/>
              </w:rPr>
              <w:t>Moderate (Edge)</w:t>
            </w:r>
          </w:p>
        </w:tc>
      </w:tr>
      <w:tr>
        <w:tc>
          <w:tcPr>
            <w:tcW w:type="dxa" w:w="1290"/>
            <w:tcMar>
              <w:top w:w="50" w:type="dxa"/>
              <w:bottom w:w="50" w:type="dxa"/>
              <w:left w:w="60" w:type="dxa"/>
              <w:right w:w="60" w:type="dxa"/>
            </w:tcMar>
            <w:shd w:fill="F2F4F4"/>
          </w:tcPr>
          <w:p>
            <w:r>
              <w:rPr>
                <w:sz w:val="16"/>
              </w:rPr>
              <w:t>Sequential DL</w:t>
            </w:r>
          </w:p>
        </w:tc>
        <w:tc>
          <w:tcPr>
            <w:tcW w:type="dxa" w:w="1290"/>
            <w:tcMar>
              <w:top w:w="50" w:type="dxa"/>
              <w:bottom w:w="50" w:type="dxa"/>
              <w:left w:w="60" w:type="dxa"/>
              <w:right w:w="60" w:type="dxa"/>
            </w:tcMar>
            <w:shd w:fill="F2F4F4"/>
          </w:tcPr>
          <w:p>
            <w:r>
              <w:rPr>
                <w:sz w:val="16"/>
              </w:rPr>
              <w:t>BiLSTM Network</w:t>
            </w:r>
          </w:p>
        </w:tc>
        <w:tc>
          <w:tcPr>
            <w:tcW w:type="dxa" w:w="1290"/>
            <w:tcMar>
              <w:top w:w="50" w:type="dxa"/>
              <w:bottom w:w="50" w:type="dxa"/>
              <w:left w:w="60" w:type="dxa"/>
              <w:right w:w="60" w:type="dxa"/>
            </w:tcMar>
            <w:shd w:fill="F2F4F4"/>
          </w:tcPr>
          <w:p>
            <w:r>
              <w:rPr>
                <w:sz w:val="16"/>
              </w:rPr>
              <w:t>&lt; 2.8 Cycles</w:t>
            </w:r>
          </w:p>
        </w:tc>
        <w:tc>
          <w:tcPr>
            <w:tcW w:type="dxa" w:w="1290"/>
            <w:tcMar>
              <w:top w:w="50" w:type="dxa"/>
              <w:bottom w:w="50" w:type="dxa"/>
              <w:left w:w="60" w:type="dxa"/>
              <w:right w:w="60" w:type="dxa"/>
            </w:tcMar>
            <w:shd w:fill="F2F4F4"/>
          </w:tcPr>
          <w:p>
            <w:r>
              <w:rPr>
                <w:sz w:val="16"/>
              </w:rPr>
              <w:t>&lt; 3.5 Cycles</w:t>
            </w:r>
          </w:p>
        </w:tc>
        <w:tc>
          <w:tcPr>
            <w:tcW w:type="dxa" w:w="1290"/>
            <w:tcMar>
              <w:top w:w="50" w:type="dxa"/>
              <w:bottom w:w="50" w:type="dxa"/>
              <w:left w:w="60" w:type="dxa"/>
              <w:right w:w="60" w:type="dxa"/>
            </w:tcMar>
            <w:shd w:fill="F2F4F4"/>
          </w:tcPr>
          <w:p>
            <w:r>
              <w:rPr>
                <w:sz w:val="16"/>
              </w:rPr>
              <w:t>Very Low</w:t>
            </w:r>
          </w:p>
        </w:tc>
        <w:tc>
          <w:tcPr>
            <w:tcW w:type="dxa" w:w="1290"/>
            <w:tcMar>
              <w:top w:w="50" w:type="dxa"/>
              <w:bottom w:w="50" w:type="dxa"/>
              <w:left w:w="60" w:type="dxa"/>
              <w:right w:w="60" w:type="dxa"/>
            </w:tcMar>
            <w:shd w:fill="F2F4F4"/>
          </w:tcPr>
          <w:p>
            <w:r>
              <w:rPr>
                <w:sz w:val="16"/>
              </w:rPr>
              <w:t>&lt; 15.0 ms</w:t>
            </w:r>
          </w:p>
        </w:tc>
        <w:tc>
          <w:tcPr>
            <w:tcW w:type="dxa" w:w="1290"/>
            <w:tcMar>
              <w:top w:w="50" w:type="dxa"/>
              <w:bottom w:w="50" w:type="dxa"/>
              <w:left w:w="60" w:type="dxa"/>
              <w:right w:w="60" w:type="dxa"/>
            </w:tcMar>
            <w:shd w:fill="F2F4F4"/>
          </w:tcPr>
          <w:p>
            <w:r>
              <w:rPr>
                <w:sz w:val="16"/>
              </w:rPr>
              <w:t>Moderate (Edge)</w:t>
            </w:r>
          </w:p>
        </w:tc>
      </w:tr>
    </w:tbl>
    <w:p>
      <w:pPr>
        <w:spacing w:after="240"/>
      </w:pPr>
    </w:p>
    <w:p>
      <w:pPr>
        <w:pStyle w:val="Heading2"/>
      </w:pPr>
      <w:r>
        <w:t>3.4 Work Already Completed</w:t>
      </w:r>
    </w:p>
    <w:p>
      <w:r>
        <w:t>Substantial preliminary progress has already been achieved:</w:t>
        <w:br/>
        <w:t>• Downloaded and extracted all 34 NASA battery datasets into structured project directories.</w:t>
        <w:br/>
        <w:t>• Developed modular Python data loader (src/nasa_battery/loader.py) supporting automated cycle slicing and time-series extraction.</w:t>
        <w:br/>
        <w:t>• Executed exploratory data analysis (EDA) verifying exact EOL cycle thresholds for B0005 (125), B0006 (109), and B0018 (97).</w:t>
        <w:br/>
        <w:t>• Established Python 3.11 virtual environment with PyTorch 2.13 and locked dependencies via uv.</w:t>
        <w:br/>
        <w:t>• Initialized version-controlled GitHub repository (https://github.com/Rrydicy/Thesis-project-) containing prototype code.</w:t>
      </w:r>
    </w:p>
    <w:p>
      <w:pPr>
        <w:pStyle w:val="Heading2"/>
      </w:pPr>
      <w:r>
        <w:t>3.5 Project Milestones and Timeline</w:t>
      </w:r>
    </w:p>
    <w:p>
      <w:r>
        <w:t>The project follows a structured 12-week execution schedule, with normal and contingency timelines: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1B4F72"/>
            <w:tcMar>
              <w:top w:w="80" w:type="dxa"/>
              <w:bottom w:w="80" w:type="dxa"/>
              <w:left w:w="70" w:type="dxa"/>
              <w:right w:w="70" w:type="dxa"/>
            </w:tcMar>
          </w:tcPr>
          <w:p>
            <w:r>
              <w:rPr>
                <w:b/>
                <w:color w:val="FFFFFF"/>
                <w:sz w:val="17"/>
              </w:rPr>
              <w:t>Phase / Milestone</w:t>
            </w:r>
          </w:p>
        </w:tc>
        <w:tc>
          <w:tcPr>
            <w:tcW w:type="dxa" w:w="1806"/>
            <w:shd w:fill="1B4F72"/>
            <w:tcMar>
              <w:top w:w="80" w:type="dxa"/>
              <w:bottom w:w="80" w:type="dxa"/>
              <w:left w:w="70" w:type="dxa"/>
              <w:right w:w="70" w:type="dxa"/>
            </w:tcMar>
          </w:tcPr>
          <w:p>
            <w:r>
              <w:rPr>
                <w:b/>
                <w:color w:val="FFFFFF"/>
                <w:sz w:val="17"/>
              </w:rPr>
              <w:t>Planned Duration</w:t>
            </w:r>
          </w:p>
        </w:tc>
        <w:tc>
          <w:tcPr>
            <w:tcW w:type="dxa" w:w="1806"/>
            <w:shd w:fill="1B4F72"/>
            <w:tcMar>
              <w:top w:w="80" w:type="dxa"/>
              <w:bottom w:w="80" w:type="dxa"/>
              <w:left w:w="70" w:type="dxa"/>
              <w:right w:w="70" w:type="dxa"/>
            </w:tcMar>
          </w:tcPr>
          <w:p>
            <w:r>
              <w:rPr>
                <w:b/>
                <w:color w:val="FFFFFF"/>
                <w:sz w:val="17"/>
              </w:rPr>
              <w:t>Key Deliverables / Tasks</w:t>
            </w:r>
          </w:p>
        </w:tc>
        <w:tc>
          <w:tcPr>
            <w:tcW w:type="dxa" w:w="1806"/>
            <w:shd w:fill="1B4F72"/>
            <w:tcMar>
              <w:top w:w="80" w:type="dxa"/>
              <w:bottom w:w="80" w:type="dxa"/>
              <w:left w:w="70" w:type="dxa"/>
              <w:right w:w="70" w:type="dxa"/>
            </w:tcMar>
          </w:tcPr>
          <w:p>
            <w:r>
              <w:rPr>
                <w:b/>
                <w:color w:val="FFFFFF"/>
                <w:sz w:val="17"/>
              </w:rPr>
              <w:t>Normal Schedule</w:t>
            </w:r>
          </w:p>
        </w:tc>
        <w:tc>
          <w:tcPr>
            <w:tcW w:type="dxa" w:w="1806"/>
            <w:shd w:fill="1B4F72"/>
            <w:tcMar>
              <w:top w:w="80" w:type="dxa"/>
              <w:bottom w:w="80" w:type="dxa"/>
              <w:left w:w="70" w:type="dxa"/>
              <w:right w:w="70" w:type="dxa"/>
            </w:tcMar>
          </w:tcPr>
          <w:p>
            <w:r>
              <w:rPr>
                <w:b/>
                <w:color w:val="FFFFFF"/>
                <w:sz w:val="17"/>
              </w:rPr>
              <w:t>Contingency / Slow Scenario</w:t>
            </w:r>
          </w:p>
        </w:tc>
      </w:tr>
      <w:tr>
        <w:tc>
          <w:tcPr>
            <w:tcW w:type="dxa" w:w="1806"/>
            <w:tcMar>
              <w:top w:w="50" w:type="dxa"/>
              <w:bottom w:w="50" w:type="dxa"/>
              <w:left w:w="60" w:type="dxa"/>
              <w:right w:w="60" w:type="dxa"/>
            </w:tcMar>
          </w:tcPr>
          <w:p>
            <w:r>
              <w:rPr>
                <w:sz w:val="16"/>
              </w:rPr>
              <w:t>M1: Foundation</w:t>
            </w:r>
          </w:p>
        </w:tc>
        <w:tc>
          <w:tcPr>
            <w:tcW w:type="dxa" w:w="1806"/>
            <w:tcMar>
              <w:top w:w="50" w:type="dxa"/>
              <w:bottom w:w="50" w:type="dxa"/>
              <w:left w:w="60" w:type="dxa"/>
              <w:right w:w="60" w:type="dxa"/>
            </w:tcMar>
          </w:tcPr>
          <w:p>
            <w:r>
              <w:rPr>
                <w:sz w:val="16"/>
              </w:rPr>
              <w:t>Weeks 1–3</w:t>
            </w:r>
          </w:p>
        </w:tc>
        <w:tc>
          <w:tcPr>
            <w:tcW w:type="dxa" w:w="1806"/>
            <w:tcMar>
              <w:top w:w="50" w:type="dxa"/>
              <w:bottom w:w="50" w:type="dxa"/>
              <w:left w:w="60" w:type="dxa"/>
              <w:right w:w="60" w:type="dxa"/>
            </w:tcMar>
          </w:tcPr>
          <w:p>
            <w:r>
              <w:rPr>
                <w:sz w:val="16"/>
              </w:rPr>
              <w:t>Topic definition, EDA, GitHub setup, NASA dataset parsing.</w:t>
            </w:r>
          </w:p>
        </w:tc>
        <w:tc>
          <w:tcPr>
            <w:tcW w:type="dxa" w:w="1806"/>
            <w:tcMar>
              <w:top w:w="50" w:type="dxa"/>
              <w:bottom w:w="50" w:type="dxa"/>
              <w:left w:w="60" w:type="dxa"/>
              <w:right w:w="60" w:type="dxa"/>
            </w:tcMar>
          </w:tcPr>
          <w:p>
            <w:r>
              <w:rPr>
                <w:sz w:val="16"/>
              </w:rPr>
              <w:t>Completed (On track)</w:t>
            </w:r>
          </w:p>
        </w:tc>
        <w:tc>
          <w:tcPr>
            <w:tcW w:type="dxa" w:w="1806"/>
            <w:tcMar>
              <w:top w:w="50" w:type="dxa"/>
              <w:bottom w:w="50" w:type="dxa"/>
              <w:left w:w="60" w:type="dxa"/>
              <w:right w:w="60" w:type="dxa"/>
            </w:tcMar>
          </w:tcPr>
          <w:p>
            <w:r>
              <w:rPr>
                <w:sz w:val="16"/>
              </w:rPr>
              <w:t>Completed</w:t>
            </w:r>
          </w:p>
        </w:tc>
      </w:tr>
      <w:tr>
        <w:tc>
          <w:tcPr>
            <w:tcW w:type="dxa" w:w="1806"/>
            <w:tcMar>
              <w:top w:w="50" w:type="dxa"/>
              <w:bottom w:w="50" w:type="dxa"/>
              <w:left w:w="60" w:type="dxa"/>
              <w:right w:w="60" w:type="dxa"/>
            </w:tcMar>
            <w:shd w:fill="F2F4F4"/>
          </w:tcPr>
          <w:p>
            <w:r>
              <w:rPr>
                <w:sz w:val="16"/>
              </w:rPr>
              <w:t>M2: Feature Eng.</w:t>
            </w:r>
          </w:p>
        </w:tc>
        <w:tc>
          <w:tcPr>
            <w:tcW w:type="dxa" w:w="1806"/>
            <w:tcMar>
              <w:top w:w="50" w:type="dxa"/>
              <w:bottom w:w="50" w:type="dxa"/>
              <w:left w:w="60" w:type="dxa"/>
              <w:right w:w="60" w:type="dxa"/>
            </w:tcMar>
            <w:shd w:fill="F2F4F4"/>
          </w:tcPr>
          <w:p>
            <w:r>
              <w:rPr>
                <w:sz w:val="16"/>
              </w:rPr>
              <w:t>Weeks 4–5</w:t>
            </w:r>
          </w:p>
        </w:tc>
        <w:tc>
          <w:tcPr>
            <w:tcW w:type="dxa" w:w="1806"/>
            <w:tcMar>
              <w:top w:w="50" w:type="dxa"/>
              <w:bottom w:w="50" w:type="dxa"/>
              <w:left w:w="60" w:type="dxa"/>
              <w:right w:w="60" w:type="dxa"/>
            </w:tcMar>
            <w:shd w:fill="F2F4F4"/>
          </w:tcPr>
          <w:p>
            <w:r>
              <w:rPr>
                <w:sz w:val="16"/>
              </w:rPr>
              <w:t>Extract HIs (Δt, ΔV, ΔT, EIS) and compute Pearson/Spearman correlation.</w:t>
            </w:r>
          </w:p>
        </w:tc>
        <w:tc>
          <w:tcPr>
            <w:tcW w:type="dxa" w:w="1806"/>
            <w:tcMar>
              <w:top w:w="50" w:type="dxa"/>
              <w:bottom w:w="50" w:type="dxa"/>
              <w:left w:w="60" w:type="dxa"/>
              <w:right w:w="60" w:type="dxa"/>
            </w:tcMar>
            <w:shd w:fill="F2F4F4"/>
          </w:tcPr>
          <w:p>
            <w:r>
              <w:rPr>
                <w:sz w:val="16"/>
              </w:rPr>
              <w:t>Weeks 4–5</w:t>
            </w:r>
          </w:p>
        </w:tc>
        <w:tc>
          <w:tcPr>
            <w:tcW w:type="dxa" w:w="1806"/>
            <w:tcMar>
              <w:top w:w="50" w:type="dxa"/>
              <w:bottom w:w="50" w:type="dxa"/>
              <w:left w:w="60" w:type="dxa"/>
              <w:right w:w="60" w:type="dxa"/>
            </w:tcMar>
            <w:shd w:fill="F2F4F4"/>
          </w:tcPr>
          <w:p>
            <w:r>
              <w:rPr>
                <w:sz w:val="16"/>
              </w:rPr>
              <w:t>Extended to Week 6</w:t>
            </w:r>
          </w:p>
        </w:tc>
      </w:tr>
      <w:tr>
        <w:tc>
          <w:tcPr>
            <w:tcW w:type="dxa" w:w="1806"/>
            <w:tcMar>
              <w:top w:w="50" w:type="dxa"/>
              <w:bottom w:w="50" w:type="dxa"/>
              <w:left w:w="60" w:type="dxa"/>
              <w:right w:w="60" w:type="dxa"/>
            </w:tcMar>
          </w:tcPr>
          <w:p>
            <w:r>
              <w:rPr>
                <w:sz w:val="16"/>
              </w:rPr>
              <w:t>M3: Classical ML</w:t>
            </w:r>
          </w:p>
        </w:tc>
        <w:tc>
          <w:tcPr>
            <w:tcW w:type="dxa" w:w="1806"/>
            <w:tcMar>
              <w:top w:w="50" w:type="dxa"/>
              <w:bottom w:w="50" w:type="dxa"/>
              <w:left w:w="60" w:type="dxa"/>
              <w:right w:w="60" w:type="dxa"/>
            </w:tcMar>
          </w:tcPr>
          <w:p>
            <w:r>
              <w:rPr>
                <w:sz w:val="16"/>
              </w:rPr>
              <w:t>Weeks 6–7</w:t>
            </w:r>
          </w:p>
        </w:tc>
        <w:tc>
          <w:tcPr>
            <w:tcW w:type="dxa" w:w="1806"/>
            <w:tcMar>
              <w:top w:w="50" w:type="dxa"/>
              <w:bottom w:w="50" w:type="dxa"/>
              <w:left w:w="60" w:type="dxa"/>
              <w:right w:w="60" w:type="dxa"/>
            </w:tcMar>
          </w:tcPr>
          <w:p>
            <w:r>
              <w:rPr>
                <w:sz w:val="16"/>
              </w:rPr>
              <w:t>Implement, tune, and benchmark SVR, Random Forest, and XGBoost baselines.</w:t>
            </w:r>
          </w:p>
        </w:tc>
        <w:tc>
          <w:tcPr>
            <w:tcW w:type="dxa" w:w="1806"/>
            <w:tcMar>
              <w:top w:w="50" w:type="dxa"/>
              <w:bottom w:w="50" w:type="dxa"/>
              <w:left w:w="60" w:type="dxa"/>
              <w:right w:w="60" w:type="dxa"/>
            </w:tcMar>
          </w:tcPr>
          <w:p>
            <w:r>
              <w:rPr>
                <w:sz w:val="16"/>
              </w:rPr>
              <w:t>Weeks 6–7</w:t>
            </w:r>
          </w:p>
        </w:tc>
        <w:tc>
          <w:tcPr>
            <w:tcW w:type="dxa" w:w="1806"/>
            <w:tcMar>
              <w:top w:w="50" w:type="dxa"/>
              <w:bottom w:w="50" w:type="dxa"/>
              <w:left w:w="60" w:type="dxa"/>
              <w:right w:w="60" w:type="dxa"/>
            </w:tcMar>
          </w:tcPr>
          <w:p>
            <w:r>
              <w:rPr>
                <w:sz w:val="16"/>
              </w:rPr>
              <w:t>Weeks 7–8</w:t>
            </w:r>
          </w:p>
        </w:tc>
      </w:tr>
      <w:tr>
        <w:tc>
          <w:tcPr>
            <w:tcW w:type="dxa" w:w="1806"/>
            <w:tcMar>
              <w:top w:w="50" w:type="dxa"/>
              <w:bottom w:w="50" w:type="dxa"/>
              <w:left w:w="60" w:type="dxa"/>
              <w:right w:w="60" w:type="dxa"/>
            </w:tcMar>
            <w:shd w:fill="F2F4F4"/>
          </w:tcPr>
          <w:p>
            <w:r>
              <w:rPr>
                <w:sz w:val="16"/>
              </w:rPr>
              <w:t>M4: Proposal</w:t>
            </w:r>
          </w:p>
        </w:tc>
        <w:tc>
          <w:tcPr>
            <w:tcW w:type="dxa" w:w="1806"/>
            <w:tcMar>
              <w:top w:w="50" w:type="dxa"/>
              <w:bottom w:w="50" w:type="dxa"/>
              <w:left w:w="60" w:type="dxa"/>
              <w:right w:w="60" w:type="dxa"/>
            </w:tcMar>
            <w:shd w:fill="F2F4F4"/>
          </w:tcPr>
          <w:p>
            <w:r>
              <w:rPr>
                <w:sz w:val="16"/>
              </w:rPr>
              <w:t>Week 8</w:t>
            </w:r>
          </w:p>
        </w:tc>
        <w:tc>
          <w:tcPr>
            <w:tcW w:type="dxa" w:w="1806"/>
            <w:tcMar>
              <w:top w:w="50" w:type="dxa"/>
              <w:bottom w:w="50" w:type="dxa"/>
              <w:left w:w="60" w:type="dxa"/>
              <w:right w:w="60" w:type="dxa"/>
            </w:tcMar>
            <w:shd w:fill="F2F4F4"/>
          </w:tcPr>
          <w:p>
            <w:r>
              <w:rPr>
                <w:sz w:val="16"/>
              </w:rPr>
              <w:t>Submit finalized Project Proposal and incorporate supervisor feedback.</w:t>
            </w:r>
          </w:p>
        </w:tc>
        <w:tc>
          <w:tcPr>
            <w:tcW w:type="dxa" w:w="1806"/>
            <w:tcMar>
              <w:top w:w="50" w:type="dxa"/>
              <w:bottom w:w="50" w:type="dxa"/>
              <w:left w:w="60" w:type="dxa"/>
              <w:right w:w="60" w:type="dxa"/>
            </w:tcMar>
            <w:shd w:fill="F2F4F4"/>
          </w:tcPr>
          <w:p>
            <w:r>
              <w:rPr>
                <w:sz w:val="16"/>
              </w:rPr>
              <w:t>Week 8</w:t>
            </w:r>
          </w:p>
        </w:tc>
        <w:tc>
          <w:tcPr>
            <w:tcW w:type="dxa" w:w="1806"/>
            <w:tcMar>
              <w:top w:w="50" w:type="dxa"/>
              <w:bottom w:w="50" w:type="dxa"/>
              <w:left w:w="60" w:type="dxa"/>
              <w:right w:w="60" w:type="dxa"/>
            </w:tcMar>
            <w:shd w:fill="F2F4F4"/>
          </w:tcPr>
          <w:p>
            <w:r>
              <w:rPr>
                <w:sz w:val="16"/>
              </w:rPr>
              <w:t>Week 8 (Hard Deadline)</w:t>
            </w:r>
          </w:p>
        </w:tc>
      </w:tr>
      <w:tr>
        <w:tc>
          <w:tcPr>
            <w:tcW w:type="dxa" w:w="1806"/>
            <w:tcMar>
              <w:top w:w="50" w:type="dxa"/>
              <w:bottom w:w="50" w:type="dxa"/>
              <w:left w:w="60" w:type="dxa"/>
              <w:right w:w="60" w:type="dxa"/>
            </w:tcMar>
          </w:tcPr>
          <w:p>
            <w:r>
              <w:rPr>
                <w:sz w:val="16"/>
              </w:rPr>
              <w:t>M5: Deep Learning</w:t>
            </w:r>
          </w:p>
        </w:tc>
        <w:tc>
          <w:tcPr>
            <w:tcW w:type="dxa" w:w="1806"/>
            <w:tcMar>
              <w:top w:w="50" w:type="dxa"/>
              <w:bottom w:w="50" w:type="dxa"/>
              <w:left w:w="60" w:type="dxa"/>
              <w:right w:w="60" w:type="dxa"/>
            </w:tcMar>
          </w:tcPr>
          <w:p>
            <w:r>
              <w:rPr>
                <w:sz w:val="16"/>
              </w:rPr>
              <w:t>Weeks 9–10</w:t>
            </w:r>
          </w:p>
        </w:tc>
        <w:tc>
          <w:tcPr>
            <w:tcW w:type="dxa" w:w="1806"/>
            <w:tcMar>
              <w:top w:w="50" w:type="dxa"/>
              <w:bottom w:w="50" w:type="dxa"/>
              <w:left w:w="60" w:type="dxa"/>
              <w:right w:w="60" w:type="dxa"/>
            </w:tcMar>
          </w:tcPr>
          <w:p>
            <w:r>
              <w:rPr>
                <w:sz w:val="16"/>
              </w:rPr>
              <w:t>Implement 1D-CNN and LSTM/BiLSTM in PyTorch; tune sequence hyperparameters.</w:t>
            </w:r>
          </w:p>
        </w:tc>
        <w:tc>
          <w:tcPr>
            <w:tcW w:type="dxa" w:w="1806"/>
            <w:tcMar>
              <w:top w:w="50" w:type="dxa"/>
              <w:bottom w:w="50" w:type="dxa"/>
              <w:left w:w="60" w:type="dxa"/>
              <w:right w:w="60" w:type="dxa"/>
            </w:tcMar>
          </w:tcPr>
          <w:p>
            <w:r>
              <w:rPr>
                <w:sz w:val="16"/>
              </w:rPr>
              <w:t>Weeks 9–10</w:t>
            </w:r>
          </w:p>
        </w:tc>
        <w:tc>
          <w:tcPr>
            <w:tcW w:type="dxa" w:w="1806"/>
            <w:tcMar>
              <w:top w:w="50" w:type="dxa"/>
              <w:bottom w:w="50" w:type="dxa"/>
              <w:left w:w="60" w:type="dxa"/>
              <w:right w:w="60" w:type="dxa"/>
            </w:tcMar>
          </w:tcPr>
          <w:p>
            <w:r>
              <w:rPr>
                <w:sz w:val="16"/>
              </w:rPr>
              <w:t>Weeks 9–11 (Focus on LSTM)</w:t>
            </w:r>
          </w:p>
        </w:tc>
      </w:tr>
      <w:tr>
        <w:tc>
          <w:tcPr>
            <w:tcW w:type="dxa" w:w="1806"/>
            <w:tcMar>
              <w:top w:w="50" w:type="dxa"/>
              <w:bottom w:w="50" w:type="dxa"/>
              <w:left w:w="60" w:type="dxa"/>
              <w:right w:w="60" w:type="dxa"/>
            </w:tcMar>
            <w:shd w:fill="F2F4F4"/>
          </w:tcPr>
          <w:p>
            <w:r>
              <w:rPr>
                <w:sz w:val="16"/>
              </w:rPr>
              <w:t>M6: Thesis Report</w:t>
            </w:r>
          </w:p>
        </w:tc>
        <w:tc>
          <w:tcPr>
            <w:tcW w:type="dxa" w:w="1806"/>
            <w:tcMar>
              <w:top w:w="50" w:type="dxa"/>
              <w:bottom w:w="50" w:type="dxa"/>
              <w:left w:w="60" w:type="dxa"/>
              <w:right w:w="60" w:type="dxa"/>
            </w:tcMar>
            <w:shd w:fill="F2F4F4"/>
          </w:tcPr>
          <w:p>
            <w:r>
              <w:rPr>
                <w:sz w:val="16"/>
              </w:rPr>
              <w:t>Weeks 11–12</w:t>
            </w:r>
          </w:p>
        </w:tc>
        <w:tc>
          <w:tcPr>
            <w:tcW w:type="dxa" w:w="1806"/>
            <w:tcMar>
              <w:top w:w="50" w:type="dxa"/>
              <w:bottom w:w="50" w:type="dxa"/>
              <w:left w:w="60" w:type="dxa"/>
              <w:right w:w="60" w:type="dxa"/>
            </w:tcMar>
            <w:shd w:fill="F2F4F4"/>
          </w:tcPr>
          <w:p>
            <w:r>
              <w:rPr>
                <w:sz w:val="16"/>
              </w:rPr>
              <w:t>Execute multi-dimensional benchmarking, synthesize findings, write final thesis.</w:t>
            </w:r>
          </w:p>
        </w:tc>
        <w:tc>
          <w:tcPr>
            <w:tcW w:type="dxa" w:w="1806"/>
            <w:tcMar>
              <w:top w:w="50" w:type="dxa"/>
              <w:bottom w:w="50" w:type="dxa"/>
              <w:left w:w="60" w:type="dxa"/>
              <w:right w:w="60" w:type="dxa"/>
            </w:tcMar>
            <w:shd w:fill="F2F4F4"/>
          </w:tcPr>
          <w:p>
            <w:r>
              <w:rPr>
                <w:sz w:val="16"/>
              </w:rPr>
              <w:t>Weeks 11–12</w:t>
            </w:r>
          </w:p>
        </w:tc>
        <w:tc>
          <w:tcPr>
            <w:tcW w:type="dxa" w:w="1806"/>
            <w:tcMar>
              <w:top w:w="50" w:type="dxa"/>
              <w:bottom w:w="50" w:type="dxa"/>
              <w:left w:w="60" w:type="dxa"/>
              <w:right w:w="60" w:type="dxa"/>
            </w:tcMar>
            <w:shd w:fill="F2F4F4"/>
          </w:tcPr>
          <w:p>
            <w:r>
              <w:rPr>
                <w:sz w:val="16"/>
              </w:rPr>
              <w:t>Weeks 11–13</w:t>
            </w:r>
          </w:p>
        </w:tc>
      </w:tr>
    </w:tbl>
    <w:p>
      <w:pPr>
        <w:spacing w:after="240"/>
      </w:pPr>
    </w:p>
    <w:p>
      <w:pPr>
        <w:pStyle w:val="Heading2"/>
      </w:pPr>
      <w:r>
        <w:t>3.6 Risk Management and OHS Assessment</w:t>
      </w:r>
    </w:p>
    <w:p>
      <w:r>
        <w:t>Technical Project Risks:</w:t>
        <w:br/>
        <w:t>1. Overfitting of Deep Sequential Models: Deep LSTM models may overfit on limited benchmark cells. Mitigation: Implement Dropout (0.2), weight decay (L2 regularization), Early Stopping, and 5-fold cross-validation. Contingency: XGBoost/RF baselines serve as primary robust deliverables if LSTM overfits.</w:t>
        <w:br/>
        <w:t>2. Computational Bottlenecks: PyTorch model training latency. Mitigation: Dataset size is moderate (~616 cycles); full training completes in &lt; 5 minutes on local CPU/GPU.</w:t>
        <w:br/>
        <w:br/>
        <w:t>Occupational Health and Safety (OHS) Assessment:</w:t>
        <w:br/>
        <w:t>This project is entirely computational and data-driven, involving no physical battery teardown, high-voltage wiring, or chemical laboratory hazards. OHS risks are confined to computer workstation ergonomics and eye strain. Mitigation follows the Hierarchy of Controls (Administrative Controls): adhering to 50-minute ergonomic work/break intervals, utilizing anti-glare display monitors, and maintaining proper postural alignment.</w:t>
      </w:r>
    </w:p>
    <w:p>
      <w:pPr>
        <w:pStyle w:val="Heading2"/>
      </w:pPr>
      <w:r>
        <w:t>3.7 Ethics Statement</w:t>
      </w:r>
    </w:p>
    <w:p>
      <w:r>
        <w:t>This research utilizes exclusively open-access, de-identified benchmark datasets released publicly by the NASA Ames Prognostics Center of Excellence. The project involves no human participants, animal subjects, or proprietary confidential data. Therefore, this project is exempt from formal University of Queensland Human or Animal Ethics committee approvals.</w:t>
      </w:r>
    </w:p>
    <w:p>
      <w:pPr>
        <w:pStyle w:val="Heading1"/>
      </w:pPr>
      <w:r>
        <w:t>References</w:t>
      </w:r>
    </w:p>
    <w:p>
      <w:pPr>
        <w:spacing w:line="276" w:lineRule="auto" w:after="80"/>
      </w:pPr>
      <w:r>
        <w:rPr>
          <w:sz w:val="19"/>
        </w:rPr>
        <w:t>[1] Australian Energy Market Operator (AEMO), '2024 Integrated System Plan (ISP) for the National Electricity Market,' AEMO Technical Report, Jun. 2024.</w:t>
      </w:r>
    </w:p>
    <w:p>
      <w:pPr>
        <w:spacing w:line="276" w:lineRule="auto" w:after="80"/>
      </w:pPr>
      <w:r>
        <w:rPr>
          <w:sz w:val="19"/>
        </w:rPr>
        <w:t>[2] T. B. Reddy and D. Linden, Linden's Handbook of Batteries, 4th ed. New York: McGraw-Hill, 2011.</w:t>
      </w:r>
    </w:p>
    <w:p>
      <w:pPr>
        <w:spacing w:line="276" w:lineRule="auto" w:after="80"/>
      </w:pPr>
      <w:r>
        <w:rPr>
          <w:sz w:val="19"/>
        </w:rPr>
        <w:t>[3] G. Pistoia, Lithium-Ion Batteries: Advances and Applications. Amsterdam: Elsevier, 2014.</w:t>
      </w:r>
    </w:p>
    <w:p>
      <w:pPr>
        <w:spacing w:line="276" w:lineRule="auto" w:after="80"/>
      </w:pPr>
      <w:r>
        <w:rPr>
          <w:sz w:val="19"/>
        </w:rPr>
        <w:t>[4] M. Doyle, T. F. Fuller, and J. Newman, 'Modeling of galvanostatic charge and discharge of the lithium/polymer/insertion cell,' Journal of the Electrochemical Society, vol. 140, no. 6, pp. 1526–1533, 1993.</w:t>
      </w:r>
    </w:p>
    <w:p>
      <w:pPr>
        <w:spacing w:line="276" w:lineRule="auto" w:after="80"/>
      </w:pPr>
      <w:r>
        <w:rPr>
          <w:sz w:val="19"/>
        </w:rPr>
        <w:t>[5] J. Wang et al., 'Prognostics of lithium-ion batteries based on support vector regression,' IEEE Transactions on Industrial Electronics, vol. 60, no. 9, pp. 4141–4148, 2013.</w:t>
      </w:r>
    </w:p>
    <w:p>
      <w:pPr>
        <w:spacing w:line="276" w:lineRule="auto" w:after="80"/>
      </w:pPr>
      <w:r>
        <w:rPr>
          <w:sz w:val="19"/>
        </w:rPr>
        <w:t>[6] K. A. Severson et al., 'Data-driven prediction of battery cycle life before capacity degradation,' Nature Energy, vol. 4, no. 5, pp. 383–391, 2019.</w:t>
      </w:r>
    </w:p>
    <w:p>
      <w:pPr>
        <w:spacing w:line="276" w:lineRule="auto" w:after="80"/>
      </w:pPr>
      <w:r>
        <w:rPr>
          <w:sz w:val="19"/>
        </w:rPr>
        <w:t>[7] T. Chen and C. Guestrin, 'XGBoost: A scalable tree boosting system,' in Proceedings of the 22nd ACM SIGKDD International Conference on Knowledge Discovery and Data Mining, 2016, pp. 785–794.</w:t>
      </w:r>
    </w:p>
    <w:p>
      <w:pPr>
        <w:spacing w:line="276" w:lineRule="auto" w:after="80"/>
      </w:pPr>
      <w:r>
        <w:rPr>
          <w:sz w:val="19"/>
        </w:rPr>
        <w:t>[8] P. Ramadass et al., 'Mathematical modeling of the capacity fade of Li-ion cells,' Journal of Power Sources, vol. 123, no. 2, pp. 230–240, 2003.</w:t>
      </w:r>
    </w:p>
    <w:p>
      <w:pPr>
        <w:spacing w:line="276" w:lineRule="auto" w:after="80"/>
      </w:pPr>
      <w:r>
        <w:rPr>
          <w:sz w:val="19"/>
        </w:rPr>
        <w:t>[9] S. Hochreiter and J. Schmidhuber, 'Long short-term memory,' Neural Computation, vol. 9, no. 8, pp. 1735–1780, 1997.</w:t>
      </w:r>
    </w:p>
    <w:p>
      <w:r>
        <w:br w:type="page"/>
      </w:r>
    </w:p>
    <w:p>
      <w:pPr>
        <w:pStyle w:val="Heading1"/>
      </w:pPr>
      <w:r>
        <w:t>Appendix A: Planned Hyperparameter Search Grid</w:t>
      </w:r>
    </w:p>
    <w:p>
      <w:r>
        <w:t>To ensure a fair and rigorous comparison, all models will undergo systematic hyperparameter optimization via 5-Fold Cross-Validation on the training subset: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1B4F72"/>
            <w:tcMar>
              <w:top w:w="80" w:type="dxa"/>
              <w:bottom w:w="80" w:type="dxa"/>
              <w:left w:w="80" w:type="dxa"/>
              <w:right w:w="80" w:type="dxa"/>
            </w:tcMar>
          </w:tcPr>
          <w:p>
            <w:r>
              <w:rPr>
                <w:b/>
                <w:color w:val="FFFFFF"/>
                <w:sz w:val="18"/>
              </w:rPr>
              <w:t>Model Algorithm</w:t>
            </w:r>
          </w:p>
        </w:tc>
        <w:tc>
          <w:tcPr>
            <w:tcW w:type="dxa" w:w="3010"/>
            <w:shd w:fill="1B4F72"/>
            <w:tcMar>
              <w:top w:w="80" w:type="dxa"/>
              <w:bottom w:w="80" w:type="dxa"/>
              <w:left w:w="80" w:type="dxa"/>
              <w:right w:w="80" w:type="dxa"/>
            </w:tcMar>
          </w:tcPr>
          <w:p>
            <w:r>
              <w:rPr>
                <w:b/>
                <w:color w:val="FFFFFF"/>
                <w:sz w:val="18"/>
              </w:rPr>
              <w:t>Tuned Hyperparameters</w:t>
            </w:r>
          </w:p>
        </w:tc>
        <w:tc>
          <w:tcPr>
            <w:tcW w:type="dxa" w:w="3010"/>
            <w:shd w:fill="1B4F72"/>
            <w:tcMar>
              <w:top w:w="80" w:type="dxa"/>
              <w:bottom w:w="80" w:type="dxa"/>
              <w:left w:w="80" w:type="dxa"/>
              <w:right w:w="80" w:type="dxa"/>
            </w:tcMar>
          </w:tcPr>
          <w:p>
            <w:r>
              <w:rPr>
                <w:b/>
                <w:color w:val="FFFFFF"/>
                <w:sz w:val="18"/>
              </w:rPr>
              <w:t>Search Space / Range</w:t>
            </w:r>
          </w:p>
        </w:tc>
      </w:tr>
      <w:tr>
        <w:tc>
          <w:tcPr>
            <w:tcW w:type="dxa" w:w="3010"/>
            <w:tcMar>
              <w:top w:w="50" w:type="dxa"/>
              <w:bottom w:w="50" w:type="dxa"/>
              <w:left w:w="70" w:type="dxa"/>
              <w:right w:w="70" w:type="dxa"/>
            </w:tcMar>
          </w:tcPr>
          <w:p>
            <w:r>
              <w:rPr>
                <w:sz w:val="17"/>
              </w:rPr>
              <w:t>Support Vector Regression (SVR)</w:t>
            </w:r>
          </w:p>
        </w:tc>
        <w:tc>
          <w:tcPr>
            <w:tcW w:type="dxa" w:w="3010"/>
            <w:tcMar>
              <w:top w:w="50" w:type="dxa"/>
              <w:bottom w:w="50" w:type="dxa"/>
              <w:left w:w="70" w:type="dxa"/>
              <w:right w:w="70" w:type="dxa"/>
            </w:tcMar>
          </w:tcPr>
          <w:p>
            <w:r>
              <w:rPr>
                <w:sz w:val="17"/>
              </w:rPr>
              <w:t>C, epsilon, kernel, gamma</w:t>
            </w:r>
          </w:p>
        </w:tc>
        <w:tc>
          <w:tcPr>
            <w:tcW w:type="dxa" w:w="3010"/>
            <w:tcMar>
              <w:top w:w="50" w:type="dxa"/>
              <w:bottom w:w="50" w:type="dxa"/>
              <w:left w:w="70" w:type="dxa"/>
              <w:right w:w="70" w:type="dxa"/>
            </w:tcMar>
          </w:tcPr>
          <w:p>
            <w:r>
              <w:rPr>
                <w:sz w:val="17"/>
              </w:rPr>
              <w:t>C in [0.1, 1, 10, 100], epsilon in [0.01, 0.05, 0.1, 0.2], gamma in ['scale', 'auto', 0.01, 0.1]</w:t>
            </w:r>
          </w:p>
        </w:tc>
      </w:tr>
      <w:tr>
        <w:tc>
          <w:tcPr>
            <w:tcW w:type="dxa" w:w="3010"/>
            <w:tcMar>
              <w:top w:w="50" w:type="dxa"/>
              <w:bottom w:w="50" w:type="dxa"/>
              <w:left w:w="70" w:type="dxa"/>
              <w:right w:w="70" w:type="dxa"/>
            </w:tcMar>
            <w:shd w:fill="F2F4F4"/>
          </w:tcPr>
          <w:p>
            <w:r>
              <w:rPr>
                <w:sz w:val="17"/>
              </w:rPr>
              <w:t>Random Forest Regressor</w:t>
            </w:r>
          </w:p>
        </w:tc>
        <w:tc>
          <w:tcPr>
            <w:tcW w:type="dxa" w:w="3010"/>
            <w:tcMar>
              <w:top w:w="50" w:type="dxa"/>
              <w:bottom w:w="50" w:type="dxa"/>
              <w:left w:w="70" w:type="dxa"/>
              <w:right w:w="70" w:type="dxa"/>
            </w:tcMar>
            <w:shd w:fill="F2F4F4"/>
          </w:tcPr>
          <w:p>
            <w:r>
              <w:rPr>
                <w:sz w:val="17"/>
              </w:rPr>
              <w:t>n_estimators, max_depth, min_samples_split</w:t>
            </w:r>
          </w:p>
        </w:tc>
        <w:tc>
          <w:tcPr>
            <w:tcW w:type="dxa" w:w="3010"/>
            <w:tcMar>
              <w:top w:w="50" w:type="dxa"/>
              <w:bottom w:w="50" w:type="dxa"/>
              <w:left w:w="70" w:type="dxa"/>
              <w:right w:w="70" w:type="dxa"/>
            </w:tcMar>
            <w:shd w:fill="F2F4F4"/>
          </w:tcPr>
          <w:p>
            <w:r>
              <w:rPr>
                <w:sz w:val="17"/>
              </w:rPr>
              <w:t>n_estimators in [50, 100, 200], max_depth in [3, 5, 8, None], min_samples_split in [2, 5, 10]</w:t>
            </w:r>
          </w:p>
        </w:tc>
      </w:tr>
      <w:tr>
        <w:tc>
          <w:tcPr>
            <w:tcW w:type="dxa" w:w="3010"/>
            <w:tcMar>
              <w:top w:w="50" w:type="dxa"/>
              <w:bottom w:w="50" w:type="dxa"/>
              <w:left w:w="70" w:type="dxa"/>
              <w:right w:w="70" w:type="dxa"/>
            </w:tcMar>
          </w:tcPr>
          <w:p>
            <w:r>
              <w:rPr>
                <w:sz w:val="17"/>
              </w:rPr>
              <w:t>XGBoost Regressor</w:t>
            </w:r>
          </w:p>
        </w:tc>
        <w:tc>
          <w:tcPr>
            <w:tcW w:type="dxa" w:w="3010"/>
            <w:tcMar>
              <w:top w:w="50" w:type="dxa"/>
              <w:bottom w:w="50" w:type="dxa"/>
              <w:left w:w="70" w:type="dxa"/>
              <w:right w:w="70" w:type="dxa"/>
            </w:tcMar>
          </w:tcPr>
          <w:p>
            <w:r>
              <w:rPr>
                <w:sz w:val="17"/>
              </w:rPr>
              <w:t>n_estimators, max_depth, learning_rate, subsample</w:t>
            </w:r>
          </w:p>
        </w:tc>
        <w:tc>
          <w:tcPr>
            <w:tcW w:type="dxa" w:w="3010"/>
            <w:tcMar>
              <w:top w:w="50" w:type="dxa"/>
              <w:bottom w:w="50" w:type="dxa"/>
              <w:left w:w="70" w:type="dxa"/>
              <w:right w:w="70" w:type="dxa"/>
            </w:tcMar>
          </w:tcPr>
          <w:p>
            <w:r>
              <w:rPr>
                <w:sz w:val="17"/>
              </w:rPr>
              <w:t>n_estimators in [50, 100, 200], max_depth in [3, 4, 6], lr in [0.01, 0.05, 0.1], subsample in [0.7, 0.9, 1.0]</w:t>
            </w:r>
          </w:p>
        </w:tc>
      </w:tr>
      <w:tr>
        <w:tc>
          <w:tcPr>
            <w:tcW w:type="dxa" w:w="3010"/>
            <w:tcMar>
              <w:top w:w="50" w:type="dxa"/>
              <w:bottom w:w="50" w:type="dxa"/>
              <w:left w:w="70" w:type="dxa"/>
              <w:right w:w="70" w:type="dxa"/>
            </w:tcMar>
            <w:shd w:fill="F2F4F4"/>
          </w:tcPr>
          <w:p>
            <w:r>
              <w:rPr>
                <w:sz w:val="17"/>
              </w:rPr>
              <w:t>1D-CNN Network</w:t>
            </w:r>
          </w:p>
        </w:tc>
        <w:tc>
          <w:tcPr>
            <w:tcW w:type="dxa" w:w="3010"/>
            <w:tcMar>
              <w:top w:w="50" w:type="dxa"/>
              <w:bottom w:w="50" w:type="dxa"/>
              <w:left w:w="70" w:type="dxa"/>
              <w:right w:w="70" w:type="dxa"/>
            </w:tcMar>
            <w:shd w:fill="F2F4F4"/>
          </w:tcPr>
          <w:p>
            <w:r>
              <w:rPr>
                <w:sz w:val="17"/>
              </w:rPr>
              <w:t>filters, kernel_size, dropout, lr</w:t>
            </w:r>
          </w:p>
        </w:tc>
        <w:tc>
          <w:tcPr>
            <w:tcW w:type="dxa" w:w="3010"/>
            <w:tcMar>
              <w:top w:w="50" w:type="dxa"/>
              <w:bottom w:w="50" w:type="dxa"/>
              <w:left w:w="70" w:type="dxa"/>
              <w:right w:w="70" w:type="dxa"/>
            </w:tcMar>
            <w:shd w:fill="F2F4F4"/>
          </w:tcPr>
          <w:p>
            <w:r>
              <w:rPr>
                <w:sz w:val="17"/>
              </w:rPr>
              <w:t>filters in [16, 32, 64], kernel_size in [2, 3, 5], dropout in [0.1, 0.2, 0.3], lr in [1e-3, 5e-4]</w:t>
            </w:r>
          </w:p>
        </w:tc>
      </w:tr>
      <w:tr>
        <w:tc>
          <w:tcPr>
            <w:tcW w:type="dxa" w:w="3010"/>
            <w:tcMar>
              <w:top w:w="50" w:type="dxa"/>
              <w:bottom w:w="50" w:type="dxa"/>
              <w:left w:w="70" w:type="dxa"/>
              <w:right w:w="70" w:type="dxa"/>
            </w:tcMar>
          </w:tcPr>
          <w:p>
            <w:r>
              <w:rPr>
                <w:sz w:val="17"/>
              </w:rPr>
              <w:t>LSTM / BiLSTM Network</w:t>
            </w:r>
          </w:p>
        </w:tc>
        <w:tc>
          <w:tcPr>
            <w:tcW w:type="dxa" w:w="3010"/>
            <w:tcMar>
              <w:top w:w="50" w:type="dxa"/>
              <w:bottom w:w="50" w:type="dxa"/>
              <w:left w:w="70" w:type="dxa"/>
              <w:right w:w="70" w:type="dxa"/>
            </w:tcMar>
          </w:tcPr>
          <w:p>
            <w:r>
              <w:rPr>
                <w:sz w:val="17"/>
              </w:rPr>
              <w:t>hidden_dim, num_layers, sequence_length, dropout, lr</w:t>
            </w:r>
          </w:p>
        </w:tc>
        <w:tc>
          <w:tcPr>
            <w:tcW w:type="dxa" w:w="3010"/>
            <w:tcMar>
              <w:top w:w="50" w:type="dxa"/>
              <w:bottom w:w="50" w:type="dxa"/>
              <w:left w:w="70" w:type="dxa"/>
              <w:right w:w="70" w:type="dxa"/>
            </w:tcMar>
          </w:tcPr>
          <w:p>
            <w:r>
              <w:rPr>
                <w:sz w:val="17"/>
              </w:rPr>
              <w:t>hidden_dim in [16, 32, 64], num_layers in [1, 2], seq_len in [3, 5, 8], dropout in [0.1, 0.2], lr in [1e-3, 5e-4]</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