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Spectrally-consistent neural surrogate for real-time ultrasound pressure-field prediction in heterogeneous breast tissue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Patient-specific HIFU planning requires fast pressure-field simulation in heterogeneous tissue. Full-wave k-Wave delivers reference accuracy but costs</w:t>
      </w:r>
      <w:r>
        <w:t xml:space="preserve"> </w:t>
      </w:r>
      <w:r>
        <w:rPr>
          <w:b/>
          <w:bCs/>
        </w:rPr>
        <w:t xml:space="preserve">~60 s per 316 × 256 / 1 MHz configuration</w:t>
      </w:r>
      <w:r>
        <w:t xml:space="preserve"> </w:t>
      </w:r>
      <w:r>
        <w:t xml:space="preserve">on an RTX 4070 — an order of magnitude too slow for the sub-second feedback clinicians need while sweeping the focal target. Frequency-domain Helmholtz, ray tracing and lookup tables each fail on a different axis (transient information, refraction tail, or per-patient adaptivity), defining the engineering slot for a learned forward surrogate that is on-the-go and GPU-light.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We trained a 2-D Fourier Neural Operator (FNO) and a matched 2-D U-Net baseline on</w:t>
      </w:r>
      <w:r>
        <w:t xml:space="preserve"> </w:t>
      </w:r>
      <w:r>
        <w:rPr>
          <w:b/>
          <w:bCs/>
        </w:rPr>
        <w:t xml:space="preserve">1 000 simulations</w:t>
      </w:r>
      <w:r>
        <w:t xml:space="preserve"> </w:t>
      </w:r>
      <w:r>
        <w:t xml:space="preserve">drawn from the recently released</w:t>
      </w:r>
      <w:r>
        <w:t xml:space="preserve"> </w:t>
      </w:r>
      <w:r>
        <w:rPr>
          <w:b/>
          <w:bCs/>
        </w:rPr>
        <w:t xml:space="preserve">OpenBreastUS</w:t>
      </w:r>
      <w:r>
        <w:t xml:space="preserve"> </w:t>
      </w:r>
      <w:r>
        <w:t xml:space="preserve">dataset (Zeng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2025) — anatomically realistic sound-speed, density and attenuation maps derived from real breast MRI, chosen for</w:t>
      </w:r>
      <w:r>
        <w:t xml:space="preserve"> </w:t>
      </w:r>
      <w:r>
        <w:rPr>
          <w:i/>
          <w:iCs/>
        </w:rPr>
        <w:t xml:space="preserve">in vivo</w:t>
      </w:r>
      <w:r>
        <w:t xml:space="preserve"> </w:t>
      </w:r>
      <w:r>
        <w:t xml:space="preserve">fat / fibroglandular impedance contrast that synthetic phantoms cannot reproduce. Identical 70 / 15 / 15 split (seed 0) across all backbones; combined</w:t>
      </w:r>
      <w:r>
        <w:t xml:space="preserve"> </w:t>
      </w:r>
      <w:r>
        <w:rPr>
          <w:rStyle w:val="VerbatimChar"/>
        </w:rPr>
        <w:t xml:space="preserve">LpLoss + 0.3·H1Loss</w:t>
      </w:r>
      <w:r>
        <w:t xml:space="preserve"> </w:t>
      </w:r>
      <w:r>
        <w:t xml:space="preserve">objective; per-channel z-scored inputs;</w:t>
      </w:r>
      <w:r>
        <w:t xml:space="preserve"> </w:t>
      </w:r>
      <w:r>
        <w:rPr>
          <w:rStyle w:val="VerbatimChar"/>
        </w:rPr>
        <w:t xml:space="preserve">log1p(p_max)</w:t>
      </w:r>
      <w:r>
        <w:t xml:space="preserve"> </w:t>
      </w:r>
      <w:r>
        <w:t xml:space="preserve">z-scored targets recovered to Pa via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FNO achieves</w:t>
      </w:r>
      <w:r>
        <w:t xml:space="preserve"> </w:t>
      </w:r>
      <w:r>
        <w:rPr>
          <w:b/>
          <w:bCs/>
        </w:rPr>
        <w:t xml:space="preserve">test relative L2 = 0.097</w:t>
      </w:r>
      <w:r>
        <w:t xml:space="preserve">, against U-Net’s</w:t>
      </w:r>
      <w:r>
        <w:t xml:space="preserve"> </w:t>
      </w:r>
      <w:r>
        <w:rPr>
          <w:b/>
          <w:bCs/>
        </w:rPr>
        <w:t xml:space="preserve">0.264</w:t>
      </w:r>
      <w:r>
        <w:t xml:space="preserve"> </w:t>
      </w:r>
      <w:r>
        <w:t xml:space="preserve">(</w:t>
      </w:r>
      <w:r>
        <w:rPr>
          <w:b/>
          <w:bCs/>
        </w:rPr>
        <w:t xml:space="preserve">2.7×</w:t>
      </w:r>
      <w:r>
        <w:t xml:space="preserve"> </w:t>
      </w:r>
      <w:r>
        <w:t xml:space="preserve">lower error) and a ConvNeXt-2D ablation’s</w:t>
      </w:r>
      <w:r>
        <w:t xml:space="preserve"> </w:t>
      </w:r>
      <w:r>
        <w:rPr>
          <w:b/>
          <w:bCs/>
        </w:rPr>
        <w:t xml:space="preserve">0.99</w:t>
      </w:r>
      <w:r>
        <w:t xml:space="preserve"> </w:t>
      </w:r>
      <w:r>
        <w:t xml:space="preserve">(an order of magnitude worse). Inference completes in</w:t>
      </w:r>
      <w:r>
        <w:t xml:space="preserve"> </w:t>
      </w:r>
      <w:r>
        <w:rPr>
          <w:b/>
          <w:bCs/>
        </w:rPr>
        <w:t xml:space="preserve">~8 ms / sample</w:t>
      </w:r>
      <w:r>
        <w:t xml:space="preserve"> </w:t>
      </w:r>
      <w:r>
        <w:t xml:space="preserve">on the same RTX-4070 — a</w:t>
      </w:r>
      <w:r>
        <w:t xml:space="preserve"> </w:t>
      </w:r>
      <w:r>
        <w:rPr>
          <w:b/>
          <w:bCs/>
        </w:rPr>
        <w:t xml:space="preserve">~7 500× speed-up</w:t>
      </w:r>
      <w:r>
        <w:t xml:space="preserve"> </w:t>
      </w:r>
      <w:r>
        <w:t xml:space="preserve">over k-Wave at matched accuracy on the test split. Validation loss scaled 0.81 → 0.39 from 200 → 1 000 samples, indicating substantial headroom on the full 8 000-phantom set. Visual inspection confirms FNO recovers the refraction tail that U-Net smears, consistent with FFT-based representations matching wave-equation structure.</w:t>
      </w:r>
    </w:p>
    <w:p>
      <w:pPr>
        <w:pStyle w:val="BodyText"/>
      </w:pPr>
      <w:r>
        <w:rPr>
          <w:b/>
          <w:bCs/>
        </w:rPr>
        <w:t xml:space="preserve">Significance.</w:t>
      </w:r>
      <w:r>
        <w:t xml:space="preserve"> </w:t>
      </w:r>
      <w:r>
        <w:t xml:space="preserve">To our knowledge this is the first application of OpenBreastUS to ultrasound treatment-planning surrogates (the original release targets ultrasound CT reconstruction). Prior neural-operator work (TUSNet 2022, DeepTFUS 2023, Stanziola 2023) used non-breast tissue or synthetic phantoms; the</w:t>
      </w:r>
      <w:r>
        <w:t xml:space="preserve"> </w:t>
      </w:r>
      <w:r>
        <w:rPr>
          <w:b/>
          <w:bCs/>
        </w:rPr>
        <w:t xml:space="preserve">spectrally-consistent backbone advantage</w:t>
      </w:r>
      <w:r>
        <w:t xml:space="preserve"> </w:t>
      </w:r>
      <w:r>
        <w:t xml:space="preserve">we report (FNO vs generic CNNs at matched parameter budgets) is a heterogeneous-tissue-specific finding not previously established and a clinically relevant building block for real-time HIFU planning.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HIFU, Fourier Neural Operator, k-Wave, OpenBreastUS, real-time treatment planning, wave equation, breast ultrasound.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Spectrally-consistent neural surrogate for real-time ultrasound pressure-field prediction in heterogeneous breast tissue</dc:title>
  <dc:creator/>
  <cp:keywords/>
  <dcterms:created xsi:type="dcterms:W3CDTF">2026-05-02T05:39:25Z</dcterms:created>
  <dcterms:modified xsi:type="dcterms:W3CDTF">2026-05-02T05:39:25Z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