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Sample-efficient inverse focal-point synthesis for HIFU phased arrays via gauge-aware reformulation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Steering a 256-element HIFU phased array onto a desired focus in heterogeneous tissue is conventionally posed as inverse phase regression, but the map is doubly ill-posed: empirically Q → phase is one-to-many (nearest-neighbour phase-vector circular-cosine similarity</w:t>
      </w:r>
      <w:r>
        <w:t xml:space="preserve"> </w:t>
      </w:r>
      <w:r>
        <w:rPr>
          <w:b/>
          <w:bCs/>
        </w:rPr>
        <w:t xml:space="preserve">0.002 ± 0.043</w:t>
      </w:r>
      <w:r>
        <w:t xml:space="preserve">, indistinguishable from noise) and the system carries a continuous gauge symmetry — adding a constant</w:t>
      </w:r>
      <w:r>
        <w:t xml:space="preserve"> </w:t>
      </w:r>
      <w:r>
        <w:rPr>
          <w:rStyle w:val="VerbatimChar"/>
        </w:rPr>
        <w:t xml:space="preserve">+δ</w:t>
      </w:r>
      <w:r>
        <w:t xml:space="preserve"> </w:t>
      </w:r>
      <w:r>
        <w:t xml:space="preserve">to every phase produces zero focal displacement and sub-1 % intensity change. Direct deterministic regression cannot fit this combination.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reformulate</w:t>
      </w:r>
      <w:r>
        <w:t xml:space="preserve"> </w:t>
      </w:r>
      <w:r>
        <w:t xml:space="preserve">the task as</w:t>
      </w:r>
      <w:r>
        <w:t xml:space="preserve"> </w:t>
      </w:r>
      <w:r>
        <w:rPr>
          <w:b/>
          <w:bCs/>
        </w:rPr>
        <w:t xml:space="preserve">3-DOF focus-point regression</w:t>
      </w:r>
      <w:r>
        <w:t xml:space="preserve">: a compact 3-D CNN (FocusPointNet, 0.89 M params) predicts</w:t>
      </w:r>
      <w:r>
        <w:t xml:space="preserve"> </w:t>
      </w:r>
      <w:r>
        <w:rPr>
          <w:rStyle w:val="VerbatimChar"/>
        </w:rPr>
        <w:t xml:space="preserve">(x, y, z)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(log1p(Q), mask)</w:t>
      </w:r>
      <w:r>
        <w:t xml:space="preserve">; transducer phases are then synthesised by</w:t>
      </w:r>
      <w:r>
        <w:t xml:space="preserve"> </w:t>
      </w:r>
      <w:r>
        <w:rPr>
          <w:b/>
          <w:bCs/>
        </w:rPr>
        <w:t xml:space="preserve">analytical delay-and-sum</w:t>
      </w:r>
      <w:r>
        <w:t xml:space="preserve"> </w:t>
      </w:r>
      <w:r>
        <w:t xml:space="preserve">beamforming, gauge-fixed to</w:t>
      </w:r>
      <w:r>
        <w:t xml:space="preserve"> </w:t>
      </w:r>
      <w:r>
        <w:rPr>
          <w:rStyle w:val="VerbatimChar"/>
        </w:rPr>
        <w:t xml:space="preserve">φ₀ = 0</w:t>
      </w:r>
      <w:r>
        <w:t xml:space="preserve"> </w:t>
      </w:r>
      <w:r>
        <w:t xml:space="preserve">and quantised to 5° steps. The gauge symmetry was verified three independent ways — analytic derivation from the delay-and-sum equation, synthetic 256-element least-squares fit, and full-wave</w:t>
      </w:r>
      <w:r>
        <w:t xml:space="preserve"> </w:t>
      </w:r>
      <w:r>
        <w:rPr>
          <w:b/>
          <w:bCs/>
        </w:rPr>
        <w:t xml:space="preserve">k-Wave simulation</w:t>
      </w:r>
      <w:r>
        <w:t xml:space="preserve"> </w:t>
      </w:r>
      <w:r>
        <w:t xml:space="preserve">(ITU collaborator) — all reporting</w:t>
      </w:r>
      <w:r>
        <w:t xml:space="preserve"> </w:t>
      </w:r>
      <w:r>
        <w:rPr>
          <w:b/>
          <w:bCs/>
        </w:rPr>
        <w:t xml:space="preserve">0 mm focal shift and &lt;1 % intensity change at +20°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On a 22 / 4 / 4 split with three random seeds, FocusPointNet achieves</w:t>
      </w:r>
      <w:r>
        <w:t xml:space="preserve"> </w:t>
      </w:r>
      <w:r>
        <w:rPr>
          <w:b/>
          <w:bCs/>
        </w:rPr>
        <w:t xml:space="preserve">lateral RMS 4.63 ± 2.21 mm (X) and 2.69 ± 1.21 mm (Y)</w:t>
      </w:r>
      <w:r>
        <w:t xml:space="preserve"> </w:t>
      </w:r>
      <w:r>
        <w:t xml:space="preserve">— well inside the 6 mm focal spot — combined RMS</w:t>
      </w:r>
      <w:r>
        <w:t xml:space="preserve"> </w:t>
      </w:r>
      <w:r>
        <w:rPr>
          <w:b/>
          <w:bCs/>
        </w:rPr>
        <w:t xml:space="preserve">26.25 ± 4.61 mm</w:t>
      </w:r>
      <w:r>
        <w:t xml:space="preserve">, dominated by the elongated focal zone along the axial axis. Backbone ablation (CNN / ResNet-3D / multi-scale UNet-encoder) and a state-of-the-art DSNT heatmap variant (nnLandmark / H3DE-Net 2025) reach equivalent lateral accuracy:</w:t>
      </w:r>
      <w:r>
        <w:t xml:space="preserve"> </w:t>
      </w:r>
      <w:r>
        <w:rPr>
          <w:b/>
          <w:bCs/>
        </w:rPr>
        <w:t xml:space="preserve">precision is a property of the task formulation, not of any specific backbone</w:t>
      </w:r>
      <w:r>
        <w:t xml:space="preserve">. Against five closed-form classical baselines on the same split, FocusPointNet improves lateral X by</w:t>
      </w:r>
      <w:r>
        <w:t xml:space="preserve"> </w:t>
      </w:r>
      <w:r>
        <w:rPr>
          <w:b/>
          <w:bCs/>
        </w:rPr>
        <w:t xml:space="preserve">3.0×</w:t>
      </w:r>
      <w:r>
        <w:t xml:space="preserve"> </w:t>
      </w:r>
      <w:r>
        <w:t xml:space="preserve">and Y by</w:t>
      </w:r>
      <w:r>
        <w:t xml:space="preserve"> </w:t>
      </w:r>
      <w:r>
        <w:rPr>
          <w:b/>
          <w:bCs/>
        </w:rPr>
        <w:t xml:space="preserve">5.3×</w:t>
      </w:r>
      <w:r>
        <w:t xml:space="preserve"> </w:t>
      </w:r>
      <w:r>
        <w:t xml:space="preserve">over the strongest (amplitude-weighted centroid: 13.82 / 14.23 mm); simpler peak-finders collapse to 64–80 mm RMS because the heat peak is offset from the intended target by 30–50 mm under refraction. A 5° / 10° / 15° quantisation study confirms &lt;0.35 % intensity error and sub-0.1 mm focal shift at 5°, enabling a discrete gauge-fixed output space.</w:t>
      </w:r>
    </w:p>
    <w:p>
      <w:pPr>
        <w:pStyle w:val="BodyText"/>
      </w:pPr>
      <w:r>
        <w:rPr>
          <w:b/>
          <w:bCs/>
        </w:rPr>
        <w:t xml:space="preserve">Significance.</w:t>
      </w:r>
      <w:r>
        <w:t xml:space="preserve"> </w:t>
      </w:r>
      <w:r>
        <w:t xml:space="preserve">To our knowledge this is the first</w:t>
      </w:r>
      <w:r>
        <w:t xml:space="preserve"> </w:t>
      </w:r>
      <w:r>
        <w:rPr>
          <w:b/>
          <w:bCs/>
        </w:rPr>
        <w:t xml:space="preserve">gauge-aware reformulation</w:t>
      </w:r>
      <w:r>
        <w:t xml:space="preserve"> </w:t>
      </w:r>
      <w:r>
        <w:t xml:space="preserve">of HIFU phased-array inverse synthesis as a low-dimensional regression task, recovering single-valued ground truth while preserving the underlying physical symmetry. The empirical gauge-and-quantisation characterisation is of independent value for classical phase optimisers, and the sample-efficient learned-localisation + analytical-beamforming hybrid achieves sub-focal-spot lateral accuracy from only 22 training simulations.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HIFU, phased array, gauge symmetry, focal-point regression, delay-and-sum, phase quantisation, sample efficiency.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Sample-efficient inverse focal-point synthesis for HIFU phased arrays via gauge-aware reformulation</dc:title>
  <dc:creator/>
  <cp:keywords/>
  <dcterms:created xsi:type="dcterms:W3CDTF">2026-05-02T05:39:32Z</dcterms:created>
  <dcterms:modified xsi:type="dcterms:W3CDTF">2026-05-02T05:39:32Z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