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HIFU Faz Dizilerinde Gauge-Uyumlu Yeniden Formülasyonla Örnek-Verimli Ters Odak-Noktası Sentezi</w:t>
      </w:r>
    </w:p>
    <w:p>
      <w:pPr>
        <w:pStyle w:val="FirstParagraph"/>
      </w:pPr>
      <w:r>
        <w:rPr>
          <w:b/>
          <w:bCs/>
        </w:rPr>
        <w:t xml:space="preserve">Arka plan.</w:t>
      </w:r>
      <w:r>
        <w:t xml:space="preserve"> </w:t>
      </w:r>
      <w:r>
        <w:t xml:space="preserve">Heterojen dokuda 256 elemanlı bir HIFU faz dizisini istenen bir odağa yönlendirmek geleneksel olarak ters faz regresyonu olarak kurulur, ancak eşleme iki yönlü kötü-koşullandırılmıştır: ampirik olarak Q → faz</w:t>
      </w:r>
      <w:r>
        <w:t xml:space="preserve"> </w:t>
      </w:r>
      <w:r>
        <w:rPr>
          <w:b/>
          <w:bCs/>
        </w:rPr>
        <w:t xml:space="preserve">bir-çoğa</w:t>
      </w:r>
      <w:r>
        <w:t xml:space="preserve"> </w:t>
      </w:r>
      <w:r>
        <w:t xml:space="preserve">(en yakın komşu faz-vektörü dairesel-kosinüs benzerliği</w:t>
      </w:r>
      <w:r>
        <w:t xml:space="preserve"> </w:t>
      </w:r>
      <w:r>
        <w:rPr>
          <w:b/>
          <w:bCs/>
        </w:rPr>
        <w:t xml:space="preserve">0.002 ± 0.043</w:t>
      </w:r>
      <w:r>
        <w:t xml:space="preserve">, gürültüden ayırt edilemez) ve sistem</w:t>
      </w:r>
      <w:r>
        <w:t xml:space="preserve"> </w:t>
      </w:r>
      <w:r>
        <w:rPr>
          <w:b/>
          <w:bCs/>
        </w:rPr>
        <w:t xml:space="preserve">sürekli bir gauge simetrisi</w:t>
      </w:r>
      <w:r>
        <w:t xml:space="preserve"> </w:t>
      </w:r>
      <w:r>
        <w:t xml:space="preserve">taşır — her faza sabit</w:t>
      </w:r>
      <w:r>
        <w:t xml:space="preserve"> </w:t>
      </w:r>
      <w:r>
        <w:rPr>
          <w:rStyle w:val="VerbatimChar"/>
        </w:rPr>
        <w:t xml:space="preserve">+δ</w:t>
      </w:r>
      <w:r>
        <w:t xml:space="preserve"> </w:t>
      </w:r>
      <w:r>
        <w:t xml:space="preserve">eklenmesi sıfır odak kayması ve %1’in altında yoğunluk değişimi üretir. Doğrudan deterministik regresyon bu kombinasyonu fit edemez.</w:t>
      </w:r>
    </w:p>
    <w:p>
      <w:pPr>
        <w:pStyle w:val="BodyText"/>
      </w:pPr>
      <w:r>
        <w:rPr>
          <w:b/>
          <w:bCs/>
        </w:rPr>
        <w:t xml:space="preserve">Yöntem.</w:t>
      </w:r>
      <w:r>
        <w:t xml:space="preserve"> </w:t>
      </w:r>
      <w:r>
        <w:t xml:space="preserve">Görevi</w:t>
      </w:r>
      <w:r>
        <w:t xml:space="preserve"> </w:t>
      </w:r>
      <w:r>
        <w:rPr>
          <w:b/>
          <w:bCs/>
        </w:rPr>
        <w:t xml:space="preserve">3 serbestlik dereceli (3-DOF) odak-noktası regresyonu</w:t>
      </w:r>
      <w:r>
        <w:t xml:space="preserve"> </w:t>
      </w:r>
      <w:r>
        <w:t xml:space="preserve">olarak</w:t>
      </w:r>
      <w:r>
        <w:t xml:space="preserve"> </w:t>
      </w:r>
      <w:r>
        <w:rPr>
          <w:b/>
          <w:bCs/>
        </w:rPr>
        <w:t xml:space="preserve">yeniden formüle ediyoruz</w:t>
      </w:r>
      <w:r>
        <w:t xml:space="preserve">: kompakt bir 3-B CNN (FocusPointNet, 0.89 M parametre)</w:t>
      </w:r>
      <w:r>
        <w:t xml:space="preserve"> </w:t>
      </w:r>
      <w:r>
        <w:rPr>
          <w:rStyle w:val="VerbatimChar"/>
        </w:rPr>
        <w:t xml:space="preserve">(log1p(Q), mask)</w:t>
      </w:r>
      <w:r>
        <w:t xml:space="preserve"> </w:t>
      </w:r>
      <w:r>
        <w:t xml:space="preserve">girdisinden</w:t>
      </w:r>
      <w:r>
        <w:t xml:space="preserve"> </w:t>
      </w:r>
      <w:r>
        <w:rPr>
          <w:rStyle w:val="VerbatimChar"/>
        </w:rPr>
        <w:t xml:space="preserve">(x, y, z)</w:t>
      </w:r>
      <w:r>
        <w:t xml:space="preserve">’yi tahmin eder; transdüser fazları ardından</w:t>
      </w:r>
      <w:r>
        <w:t xml:space="preserve"> </w:t>
      </w:r>
      <w:r>
        <w:rPr>
          <w:b/>
          <w:bCs/>
        </w:rPr>
        <w:t xml:space="preserve">analitik delay-and-sum</w:t>
      </w:r>
      <w:r>
        <w:t xml:space="preserve"> </w:t>
      </w:r>
      <w:r>
        <w:t xml:space="preserve">hüzmelendirmesiyle sentezlenir,</w:t>
      </w:r>
      <w:r>
        <w:t xml:space="preserve"> </w:t>
      </w:r>
      <w:r>
        <w:rPr>
          <w:rStyle w:val="VerbatimChar"/>
        </w:rPr>
        <w:t xml:space="preserve">φ₀ = 0</w:t>
      </w:r>
      <w:r>
        <w:t xml:space="preserve"> </w:t>
      </w:r>
      <w:r>
        <w:t xml:space="preserve">sabitlemesiyle gauge’a oturtulur ve 5° adımlara kuantize edilir. Gauge simetrisi üç bağımsız yoldan doğrulandı — delay-and-sum denkleminden analitik türev, sentetik 256-eleman düzlem dizide en-küçük-kareler fit, ve ITÜ ortağımızın</w:t>
      </w:r>
      <w:r>
        <w:t xml:space="preserve"> </w:t>
      </w:r>
      <w:r>
        <w:rPr>
          <w:b/>
          <w:bCs/>
        </w:rPr>
        <w:t xml:space="preserve">tam-dalga k-Wave simülasyonu</w:t>
      </w:r>
      <w:r>
        <w:t xml:space="preserve"> </w:t>
      </w:r>
      <w:r>
        <w:t xml:space="preserve">— üçü de</w:t>
      </w:r>
      <w:r>
        <w:t xml:space="preserve"> </w:t>
      </w:r>
      <w:r>
        <w:rPr>
          <w:b/>
          <w:bCs/>
        </w:rPr>
        <w:t xml:space="preserve">+20°’de 0 mm odak kayması ve &lt;%1 yoğunluk değişimi</w:t>
      </w:r>
      <w:r>
        <w:t xml:space="preserve"> </w:t>
      </w:r>
      <w:r>
        <w:t xml:space="preserve">raporlar.</w:t>
      </w:r>
    </w:p>
    <w:p>
      <w:pPr>
        <w:pStyle w:val="BodyText"/>
      </w:pPr>
      <w:r>
        <w:rPr>
          <w:b/>
          <w:bCs/>
        </w:rPr>
        <w:t xml:space="preserve">Sonuçlar.</w:t>
      </w:r>
      <w:r>
        <w:t xml:space="preserve"> </w:t>
      </w:r>
      <w:r>
        <w:t xml:space="preserve">22 / 4 / 4 bölünmesinde üç rastgele seed ile FocusPointNet</w:t>
      </w:r>
      <w:r>
        <w:t xml:space="preserve"> </w:t>
      </w:r>
      <w:r>
        <w:rPr>
          <w:b/>
          <w:bCs/>
        </w:rPr>
        <w:t xml:space="preserve">lateral RMS X için 4.63 ± 2.21 mm, Y için 2.69 ± 1.21 mm</w:t>
      </w:r>
      <w:r>
        <w:t xml:space="preserve"> </w:t>
      </w:r>
      <w:r>
        <w:t xml:space="preserve">elde eder — 6 mm doğal odak çapının içinde — birleşik RMS</w:t>
      </w:r>
      <w:r>
        <w:t xml:space="preserve"> </w:t>
      </w:r>
      <w:r>
        <w:rPr>
          <w:b/>
          <w:bCs/>
        </w:rPr>
        <w:t xml:space="preserve">26.25 ± 4.61 mm</w:t>
      </w:r>
      <w:r>
        <w:t xml:space="preserve">, eksende uzun odak bölgesi tarafından domine edilir. Omurga ablasyonu (CNN / ResNet-3D / çok-ölçekli UNet-encoder) ve son-teknoloji DSNT ısı-haritası varyantı (nnLandmark / H3DE-Net 2025) eşdeğer lateral doğruluk verir:</w:t>
      </w:r>
      <w:r>
        <w:t xml:space="preserve"> </w:t>
      </w:r>
      <w:r>
        <w:rPr>
          <w:b/>
          <w:bCs/>
        </w:rPr>
        <w:t xml:space="preserve">hassasiyet görev formülasyonunun bir özelliğidir, belirli bir omurganın değil</w:t>
      </w:r>
      <w:r>
        <w:t xml:space="preserve">. Aynı bölünmede beş kapalı-form klasik temele kıyasla FocusPointNet lateral X’te</w:t>
      </w:r>
      <w:r>
        <w:t xml:space="preserve"> </w:t>
      </w:r>
      <w:r>
        <w:rPr>
          <w:b/>
          <w:bCs/>
        </w:rPr>
        <w:t xml:space="preserve">3.0×</w:t>
      </w:r>
      <w:r>
        <w:t xml:space="preserve"> </w:t>
      </w:r>
      <w:r>
        <w:t xml:space="preserve">ve Y’de</w:t>
      </w:r>
      <w:r>
        <w:t xml:space="preserve"> </w:t>
      </w:r>
      <w:r>
        <w:rPr>
          <w:b/>
          <w:bCs/>
        </w:rPr>
        <w:t xml:space="preserve">5.3×</w:t>
      </w:r>
      <w:r>
        <w:t xml:space="preserve"> </w:t>
      </w:r>
      <w:r>
        <w:t xml:space="preserve">iyileşme sağlar (en güçlü klasik = ağırlıklı merkez: 13.82 / 14.23 mm); daha basit zirve-bulucular</w:t>
      </w:r>
      <w:r>
        <w:t xml:space="preserve"> </w:t>
      </w:r>
      <w:r>
        <w:rPr>
          <w:b/>
          <w:bCs/>
        </w:rPr>
        <w:t xml:space="preserve">64–80 mm</w:t>
      </w:r>
      <w:r>
        <w:t xml:space="preserve">’ye çöker, çünkü doku kırılması altında ısı tepesi hedeften 30–50 mm öteleniyor. 5° / 10° / 15° kuantizasyon çalışması, 5°’de</w:t>
      </w:r>
      <w:r>
        <w:t xml:space="preserve"> </w:t>
      </w:r>
      <w:r>
        <w:rPr>
          <w:b/>
          <w:bCs/>
        </w:rPr>
        <w:t xml:space="preserve">%0.35’in altı yoğunluk hatası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0.1 mm’nin altı odak kayması</w:t>
      </w:r>
      <w:r>
        <w:t xml:space="preserve"> </w:t>
      </w:r>
      <w:r>
        <w:t xml:space="preserve">doğrular; ayrık, gauge-sabit bir çıktı uzayını mümkün kılar.</w:t>
      </w:r>
    </w:p>
    <w:p>
      <w:pPr>
        <w:pStyle w:val="BodyText"/>
      </w:pPr>
      <w:r>
        <w:rPr>
          <w:b/>
          <w:bCs/>
        </w:rPr>
        <w:t xml:space="preserve">Katkı.</w:t>
      </w:r>
      <w:r>
        <w:t xml:space="preserve"> </w:t>
      </w:r>
      <w:r>
        <w:t xml:space="preserve">Bildiğimiz kadarıyla bu, HIFU faz dizisi ters sentezinin</w:t>
      </w:r>
      <w:r>
        <w:t xml:space="preserve"> </w:t>
      </w:r>
      <w:r>
        <w:rPr>
          <w:b/>
          <w:bCs/>
        </w:rPr>
        <w:t xml:space="preserve">gauge-uyumlu, düşük boyutlu bir regresyon görevi olarak ilk yeniden formülasyonu</w:t>
      </w:r>
      <w:r>
        <w:t xml:space="preserve">dur — altta yatan fiziksel simetriyi koruyarak tek-değerli ground truth’a ulaşır. Empirik gauge-ve-kuantizasyon karakterizasyonu klasik faz optimizatörleri için bağımsız değer taşır; örnek-verimli öğrenilmiş-lokalizasyon + analitik-hüzmelendirme hibrit pipeline’ı yalnızca 22 eğitim simülasyonundan focal-spot-altı lateral doğruluk elde eder.</w:t>
      </w:r>
    </w:p>
    <w:p>
      <w:pPr>
        <w:pStyle w:val="BodyText"/>
      </w:pPr>
      <w:r>
        <w:rPr>
          <w:i/>
          <w:iCs/>
        </w:rPr>
        <w:t xml:space="preserve">Anahtar kelimeler</w:t>
      </w:r>
      <w:r>
        <w:t xml:space="preserve">: HIFU, faz dizisi, gauge simetrisi, odak-noktası regresyonu, delay-and-sum, faz kuantizasyonu, örnek verimliliği.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t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HIFU Faz Dizilerinde Gauge-Uyumlu Yeniden Formülasyonla Örnek-Verimli Ters Odak-Noktası Sentezi</dc:title>
  <dc:creator/>
  <cp:keywords/>
  <dcterms:created xsi:type="dcterms:W3CDTF">2026-05-02T05:39:35Z</dcterms:created>
  <dcterms:modified xsi:type="dcterms:W3CDTF">2026-05-02T05:39:35Z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