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3366"/>
          <w:sz w:val="32"/>
        </w:rPr>
        <w:t>Literature Review</w:t>
      </w:r>
    </w:p>
    <w:p>
      <w:pPr>
        <w:spacing w:after="40"/>
        <w:jc w:val="center"/>
      </w:pPr>
      <w:r>
        <w:rPr>
          <w:rFonts w:ascii="Calibri" w:hAnsi="Calibri"/>
          <w:b/>
          <w:sz w:val="26"/>
        </w:rPr>
        <w:t>Household Energy Consumption Forecasting Using Time Series Models</w:t>
      </w:r>
    </w:p>
    <w:p>
      <w:pPr>
        <w:spacing w:after="80"/>
        <w:jc w:val="center"/>
      </w:pPr>
      <w:r>
        <w:rPr>
          <w:rFonts w:ascii="Calibri" w:hAnsi="Calibri"/>
          <w:color w:val="505050"/>
          <w:sz w:val="20"/>
        </w:rPr>
        <w:t>EBT 629E – Artificial Intelligence | Istanbul Technical University</w:t>
      </w:r>
    </w:p>
    <w:p>
      <w:pPr>
        <w:spacing w:after="200"/>
        <w:jc w:val="center"/>
      </w:pPr>
      <w:r>
        <w:rPr>
          <w:rFonts w:ascii="Calibri" w:hAnsi="Calibri"/>
          <w:color w:val="505050"/>
          <w:sz w:val="20"/>
        </w:rPr>
        <w:t>Nurullah Yıldırım (301252004) | Kadir Göksel Gündüz (301241077) | Furkan Çınar (301212001)   –   April 20, 2026</w:t>
      </w:r>
    </w:p>
    <w:p>
      <w:pPr>
        <w:pStyle w:val="Heading2"/>
      </w:pPr>
      <w:r>
        <w:rPr>
          <w:rFonts w:ascii="Calibri" w:hAnsi="Calibri"/>
          <w:color w:val="003366"/>
        </w:rPr>
        <w:t>1. Introduction</w:t>
      </w:r>
    </w:p>
    <w:p>
      <w:pPr>
        <w:jc w:val="both"/>
      </w:pPr>
      <w:r>
        <w:rPr>
          <w:rFonts w:ascii="Calibri" w:hAnsi="Calibri"/>
          <w:sz w:val="22"/>
        </w:rPr>
        <w:t>Accurate forecasting of household energy consumption has become a cornerstone of smart grid operation, demand-side management, and the integration of distributed energy resources. With the widespread deployment of smart meters and the rapid growth of machine learning (ML) techniques, time series forecasting at the residential level has received increasing attention over the last five years. Residential consumption is, however, highly stochastic and is driven by occupant behavior, appliance diversity, weather conditions, and socio-economic factors, which makes it a particularly challenging forecasting problem. This review focuses exclusively on peer-reviewed and conference publications from 2020 onwards that apply time series or hybrid ML models (primarily ARIMA, LSTM, Facebook Prophet, and their extensions) to energy-systems forecasting tasks, spanning residential load, renewable generation (solar, wind, hydro), and grid-level electricity demand. The goal is to identify dominant methodological trends, compare reported accuracies, highlight remaining research gaps, and situate the present project within this landscape.</w:t>
      </w:r>
    </w:p>
    <w:p>
      <w:pPr>
        <w:pStyle w:val="Heading2"/>
      </w:pPr>
      <w:r>
        <w:rPr>
          <w:rFonts w:ascii="Calibri" w:hAnsi="Calibri"/>
          <w:color w:val="003366"/>
        </w:rPr>
        <w:t>2. Thematic Review</w:t>
      </w:r>
    </w:p>
    <w:p>
      <w:pPr>
        <w:pStyle w:val="Heading3"/>
      </w:pPr>
      <w:r>
        <w:rPr>
          <w:rFonts w:ascii="Calibri" w:hAnsi="Calibri"/>
          <w:color w:val="003366"/>
        </w:rPr>
        <w:t>2.1 Classical Statistical Models (ARIMA and SARIMA Family)</w:t>
      </w:r>
    </w:p>
    <w:p>
      <w:pPr>
        <w:jc w:val="both"/>
      </w:pPr>
      <w:r>
        <w:rPr>
          <w:rFonts w:ascii="Calibri" w:hAnsi="Calibri"/>
          <w:sz w:val="22"/>
        </w:rPr>
        <w:t>ARIMA and its variants remain competitive baselines for energy forecasting, particularly for short-term and stationary series. Bülüç and others (2025) reported that ARIMA achieved the lowest error rates (R2 = 0.97) in a three-way comparison with LSTM and FB-Prophet on data from the İkitelli Solar Power Plant in Istanbul, arguing that its strength lies in handling short, autocorrelated sequences. Tamay and Türker (2024), in contrast, found that tree-based methods (KNN, RMSE = 10.6) outperformed ARIMA on solar PV data from Denizli, indicating that ARIMA’s advantage diminishes when nonlinear exogenous variables dominate. Rahman and others (2025) compared ARIMA, SARIMA, and LSTM for renewable-energy generation in Dhaka and confirmed that classical models handle linear trends and seasonality well but are consistently outperformed by LSTM once long-range nonlinear dependencies appear. The overall picture from these works is that ARIMA stays a strong benchmark when the series is short, stationary after differencing, and dominated by linear autocorrelation, but its performance plateaus once external drivers or long-range dependencies become important.</w:t>
      </w:r>
    </w:p>
    <w:p>
      <w:pPr>
        <w:pStyle w:val="Heading3"/>
      </w:pPr>
      <w:r>
        <w:rPr>
          <w:rFonts w:ascii="Calibri" w:hAnsi="Calibri"/>
          <w:color w:val="003366"/>
        </w:rPr>
        <w:t>2.2 Deep Learning Approaches (LSTM, BiLSTM, CNN-LSTM)</w:t>
      </w:r>
    </w:p>
    <w:p>
      <w:pPr>
        <w:jc w:val="both"/>
      </w:pPr>
      <w:r>
        <w:rPr>
          <w:rFonts w:ascii="Calibri" w:hAnsi="Calibri"/>
          <w:sz w:val="22"/>
        </w:rPr>
        <w:t>Recurrent neural networks, especially LSTM, are the most studied deep learning architecture for residential load forecasting. Demirtop and Sevli (2024) showed that LSTM outperformed ARIMA on wind speed data from Gelibolu (RMSE = 3.10 vs. higher for ARIMA), while Berus and Yakut (2024) compared 1D-CNN, RNN, LSTM, and BiLSTM on shopping-mall consumption data and reported that BiLSTM achieved the best performance (RMSE = 0.050, R2 = 0.93) thanks to its bidirectional context. Çolak and Özhan (2025) extended this comparison to a macro-level renewable energy series for Turkey (1960–2025) and again found LSTM superior to ARIMA(1,2,1) and NNAR. Focusing specifically on the REFIT dataset, recent work (ResearchSquare, 2025) confirmed that LSTM captures complex temporal patterns in 8-second smart-meter data more effectively than ARIMA, at the cost of substantially higher computational requirements (up to 2 hours of GPU training and ~4.7 GB memory). Across these works, LSTM gains most from long, multivariate, and nonlinear series, but its advantage shrinks on short or heavily smoothed data. This finding is echoed by Gasparin and others (2024), who showed that simple persistence baselines can outperform deep models when training data is limited to six months or less.</w:t>
      </w:r>
    </w:p>
    <w:p>
      <w:pPr>
        <w:pStyle w:val="Heading3"/>
      </w:pPr>
      <w:r>
        <w:rPr>
          <w:rFonts w:ascii="Calibri" w:hAnsi="Calibri"/>
          <w:color w:val="003366"/>
        </w:rPr>
        <w:t>2.3 Automated Decomposition Models (FB-Prophet)</w:t>
      </w:r>
    </w:p>
    <w:p>
      <w:pPr>
        <w:jc w:val="both"/>
      </w:pPr>
      <w:r>
        <w:rPr>
          <w:rFonts w:ascii="Calibri" w:hAnsi="Calibri"/>
          <w:sz w:val="22"/>
        </w:rPr>
        <w:t>Facebook Prophet is widely adopted because of its human-in-the-loop design and its automatic handling of trend, seasonality, and holiday effects. Vargas-Forero and others (2025) showed that Prophet slightly outperformed ARIMA and LSTM for 24-hour electricity demand forecasting in Colombia (RMSE = 428.5 MW, MAPE = 4.1%), particularly around holidays. On the other hand, Bülüç and others (2025) reported Prophet as the weakest of the three tested models on short, high-variance solar series. Xie and others (2022) proposed an STL-decomposed Prophet-LSTM hybrid for building energy consumption, where Prophet handled trend and seasonality while LSTM modeled the residuals, achieving lower RMSE than either model in isolation. A Neural-Prophet variant (Triebe and others, 2021) has been proposed to mitigate Prophet’s weaknesses by combining its interpretability with autoregressive neural components. Overall, Prophet does best when the signal has strong weekly or yearly seasonality and when calendar effects (weekends, holidays) materially drive demand, while it struggles with the abrupt fluctuations typical of single-household consumption.</w:t>
      </w:r>
    </w:p>
    <w:p>
      <w:pPr>
        <w:pStyle w:val="Heading3"/>
      </w:pPr>
      <w:r>
        <w:rPr>
          <w:rFonts w:ascii="Calibri" w:hAnsi="Calibri"/>
          <w:color w:val="003366"/>
        </w:rPr>
        <w:t>2.4 Hybrid and Ensemble Models for Energy Forecasting</w:t>
      </w:r>
    </w:p>
    <w:p>
      <w:pPr>
        <w:jc w:val="both"/>
      </w:pPr>
      <w:r>
        <w:rPr>
          <w:rFonts w:ascii="Calibri" w:hAnsi="Calibri"/>
          <w:sz w:val="22"/>
        </w:rPr>
        <w:t>Hybrid architectures that combine statistical and deep components consistently appear at the top of reported energy-forecasting benchmarks. Limouni and others (2023) proposed a CNN-LSTM-Transformer hybrid for solar energy production, where the CNN extracted local spatial features, LSTM captured mid-range temporal dependencies, and Transformer attention modeled long-range interactions; the integrated model outperformed ARIMA, DeepAR, and Prophet baselines on PV datasets. Xie and others (2022) similarly demonstrated that an STL-Prophet-LSTM decomposition pipeline improved energy-consumption forecasting accuracy over any single component. Sakib and others (2024) combined CNN feature extractors with LSTM decoders for multi-step residential load prediction on the smart-grid dataset, again outperforming pure recurrent models. Atalay and Zor (2025) took a different route, using XGBoost with 1,000 trees for hydroelectric generation (R2 = 0.96, RMSE = 7.29), confirming that gradient-boosted ensembles are highly competitive when sufficient engineered features are available. These results reinforce the observation that no single model dominates across all operational regimes and that targeted decomposition often yields the strongest empirical performance in energy systems.</w:t>
      </w:r>
    </w:p>
    <w:p>
      <w:pPr>
        <w:pStyle w:val="Heading3"/>
      </w:pPr>
      <w:r>
        <w:rPr>
          <w:rFonts w:ascii="Calibri" w:hAnsi="Calibri"/>
          <w:color w:val="003366"/>
        </w:rPr>
        <w:t>2.5 Transformer-Based and Emerging Architectures</w:t>
      </w:r>
    </w:p>
    <w:p>
      <w:pPr>
        <w:jc w:val="both"/>
      </w:pPr>
      <w:r>
        <w:rPr>
          <w:rFonts w:ascii="Calibri" w:hAnsi="Calibri"/>
          <w:sz w:val="22"/>
        </w:rPr>
        <w:t>Transformer-based models are the most recent addition to the forecasting toolbox. Gaviria-Chavéz and others (2025) compared SARIMA through Transformer variants on the REFIT dataset and reported that the Temporal Fusion Transformer (TFT) achieved the best point-forecast accuracy (RMSE = 481.94), while LSTM provided the best-calibrated probabilistic forecasts. Li and others (2024) extended this with a spatiotemporal graph-attention Transformer for multivariate residential load forecasting, reporting at least 14.7% improvement over deep-learning benchmarks in multi-step settings. However, Transformers introduce considerable complexity and data requirements, which has motivated research into transfer learning across households (Li and others, 2025), reducing MAE by roughly 16% for 24-hour forecasts when source datasets are combined.</w:t>
      </w:r>
    </w:p>
    <w:p>
      <w:pPr>
        <w:pStyle w:val="Heading2"/>
      </w:pPr>
      <w:r>
        <w:rPr>
          <w:rFonts w:ascii="Calibri" w:hAnsi="Calibri"/>
          <w:color w:val="003366"/>
        </w:rPr>
        <w:t>3. Comparative Summary of Reviewed Studies</w:t>
      </w:r>
    </w:p>
    <w:p>
      <w:pPr>
        <w:spacing w:after="40"/>
        <w:jc w:val="center"/>
      </w:pPr>
      <w:r>
        <w:rPr>
          <w:rFonts w:ascii="Calibri" w:hAnsi="Calibri"/>
          <w:b/>
          <w:sz w:val="18"/>
        </w:rPr>
        <w:t>Table 1. Summary of key reviewed studies, methods, datasets, and headline results.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Calibri" w:hAnsi="Calibri"/>
                <w:b/>
                <w:sz w:val="18"/>
              </w:rPr>
              <w:t>Study</w:t>
            </w:r>
          </w:p>
        </w:tc>
        <w:tc>
          <w:tcPr>
            <w:tcW w:type="dxa" w:w="1881"/>
          </w:tcPr>
          <w:p>
            <w:pPr>
              <w:jc w:val="center"/>
            </w:pPr>
            <w:r>
              <w:rPr>
                <w:rFonts w:ascii="Calibri" w:hAnsi="Calibri"/>
                <w:b/>
                <w:sz w:val="18"/>
              </w:rPr>
              <w:t>Domain / Data</w:t>
            </w:r>
          </w:p>
        </w:tc>
        <w:tc>
          <w:tcPr>
            <w:tcW w:type="dxa" w:w="1881"/>
          </w:tcPr>
          <w:p>
            <w:pPr>
              <w:jc w:val="center"/>
            </w:pPr>
            <w:r>
              <w:rPr>
                <w:rFonts w:ascii="Calibri" w:hAnsi="Calibri"/>
                <w:b/>
                <w:sz w:val="18"/>
              </w:rPr>
              <w:t>Methods Compared</w:t>
            </w:r>
          </w:p>
        </w:tc>
        <w:tc>
          <w:tcPr>
            <w:tcW w:type="dxa" w:w="1881"/>
          </w:tcPr>
          <w:p>
            <w:pPr>
              <w:jc w:val="center"/>
            </w:pPr>
            <w:r>
              <w:rPr>
                <w:rFonts w:ascii="Calibri" w:hAnsi="Calibri"/>
                <w:b/>
                <w:sz w:val="18"/>
              </w:rPr>
              <w:t>Best Model (R2 / RMSE)</w:t>
            </w:r>
          </w:p>
        </w:tc>
        <w:tc>
          <w:tcPr>
            <w:tcW w:type="dxa" w:w="1881"/>
          </w:tcPr>
          <w:p>
            <w:pPr>
              <w:jc w:val="center"/>
            </w:pPr>
            <w:r>
              <w:rPr>
                <w:rFonts w:ascii="Calibri" w:hAnsi="Calibri"/>
                <w:b/>
                <w:sz w:val="18"/>
              </w:rPr>
              <w:t>Gap / Limitation</w:t>
            </w:r>
          </w:p>
        </w:tc>
      </w:tr>
      <w:tr>
        <w:tc>
          <w:tcPr>
            <w:tcW w:type="dxa" w:w="1881"/>
          </w:tcPr>
          <w:p>
            <w:r>
              <w:rPr>
                <w:rFonts w:ascii="Calibri" w:hAnsi="Calibri"/>
                <w:sz w:val="18"/>
              </w:rPr>
              <w:t>Bülüç and others (2025)</w:t>
            </w:r>
          </w:p>
        </w:tc>
        <w:tc>
          <w:tcPr>
            <w:tcW w:type="dxa" w:w="1881"/>
          </w:tcPr>
          <w:p>
            <w:r>
              <w:rPr>
                <w:rFonts w:ascii="Calibri" w:hAnsi="Calibri"/>
                <w:sz w:val="18"/>
              </w:rPr>
              <w:t>İkitelli PV, Istanbul</w:t>
            </w:r>
          </w:p>
        </w:tc>
        <w:tc>
          <w:tcPr>
            <w:tcW w:type="dxa" w:w="1881"/>
          </w:tcPr>
          <w:p>
            <w:r>
              <w:rPr>
                <w:rFonts w:ascii="Calibri" w:hAnsi="Calibri"/>
                <w:sz w:val="18"/>
              </w:rPr>
              <w:t>ARIMA, LSTM, FB-Prophet</w:t>
            </w:r>
          </w:p>
        </w:tc>
        <w:tc>
          <w:tcPr>
            <w:tcW w:type="dxa" w:w="1881"/>
          </w:tcPr>
          <w:p>
            <w:r>
              <w:rPr>
                <w:rFonts w:ascii="Calibri" w:hAnsi="Calibri"/>
                <w:sz w:val="18"/>
              </w:rPr>
              <w:t>ARIMA (R2 = 0.97)</w:t>
            </w:r>
          </w:p>
        </w:tc>
        <w:tc>
          <w:tcPr>
            <w:tcW w:type="dxa" w:w="1881"/>
          </w:tcPr>
          <w:p>
            <w:r>
              <w:rPr>
                <w:rFonts w:ascii="Calibri" w:hAnsi="Calibri"/>
                <w:sz w:val="18"/>
              </w:rPr>
              <w:t>Short (1-month) dataset; no irradiance feature</w:t>
            </w:r>
          </w:p>
        </w:tc>
      </w:tr>
      <w:tr>
        <w:tc>
          <w:tcPr>
            <w:tcW w:type="dxa" w:w="1881"/>
          </w:tcPr>
          <w:p>
            <w:r>
              <w:rPr>
                <w:rFonts w:ascii="Calibri" w:hAnsi="Calibri"/>
                <w:sz w:val="18"/>
              </w:rPr>
              <w:t>Demirtop &amp; Sevli (2024)</w:t>
            </w:r>
          </w:p>
        </w:tc>
        <w:tc>
          <w:tcPr>
            <w:tcW w:type="dxa" w:w="1881"/>
          </w:tcPr>
          <w:p>
            <w:r>
              <w:rPr>
                <w:rFonts w:ascii="Calibri" w:hAnsi="Calibri"/>
                <w:sz w:val="18"/>
              </w:rPr>
              <w:t>Wind, Gelibolu</w:t>
            </w:r>
          </w:p>
        </w:tc>
        <w:tc>
          <w:tcPr>
            <w:tcW w:type="dxa" w:w="1881"/>
          </w:tcPr>
          <w:p>
            <w:r>
              <w:rPr>
                <w:rFonts w:ascii="Calibri" w:hAnsi="Calibri"/>
                <w:sz w:val="18"/>
              </w:rPr>
              <w:t>ARIMA, LSTM</w:t>
            </w:r>
          </w:p>
        </w:tc>
        <w:tc>
          <w:tcPr>
            <w:tcW w:type="dxa" w:w="1881"/>
          </w:tcPr>
          <w:p>
            <w:r>
              <w:rPr>
                <w:rFonts w:ascii="Calibri" w:hAnsi="Calibri"/>
                <w:sz w:val="18"/>
              </w:rPr>
              <w:t>LSTM (RMSE = 3.10)</w:t>
            </w:r>
          </w:p>
        </w:tc>
        <w:tc>
          <w:tcPr>
            <w:tcW w:type="dxa" w:w="1881"/>
          </w:tcPr>
          <w:p>
            <w:r>
              <w:rPr>
                <w:rFonts w:ascii="Calibri" w:hAnsi="Calibri"/>
                <w:sz w:val="18"/>
              </w:rPr>
              <w:t>Single site; no hybrid models</w:t>
            </w:r>
          </w:p>
        </w:tc>
      </w:tr>
      <w:tr>
        <w:tc>
          <w:tcPr>
            <w:tcW w:type="dxa" w:w="1881"/>
          </w:tcPr>
          <w:p>
            <w:r>
              <w:rPr>
                <w:rFonts w:ascii="Calibri" w:hAnsi="Calibri"/>
                <w:sz w:val="18"/>
              </w:rPr>
              <w:t>Berus &amp; Yakut (2024)</w:t>
            </w:r>
          </w:p>
        </w:tc>
        <w:tc>
          <w:tcPr>
            <w:tcW w:type="dxa" w:w="1881"/>
          </w:tcPr>
          <w:p>
            <w:r>
              <w:rPr>
                <w:rFonts w:ascii="Calibri" w:hAnsi="Calibri"/>
                <w:sz w:val="18"/>
              </w:rPr>
              <w:t>Mall, Diyarbakır</w:t>
            </w:r>
          </w:p>
        </w:tc>
        <w:tc>
          <w:tcPr>
            <w:tcW w:type="dxa" w:w="1881"/>
          </w:tcPr>
          <w:p>
            <w:r>
              <w:rPr>
                <w:rFonts w:ascii="Calibri" w:hAnsi="Calibri"/>
                <w:sz w:val="18"/>
              </w:rPr>
              <w:t>1D-CNN, RNN, LSTM, BiLSTM</w:t>
            </w:r>
          </w:p>
        </w:tc>
        <w:tc>
          <w:tcPr>
            <w:tcW w:type="dxa" w:w="1881"/>
          </w:tcPr>
          <w:p>
            <w:r>
              <w:rPr>
                <w:rFonts w:ascii="Calibri" w:hAnsi="Calibri"/>
                <w:sz w:val="18"/>
              </w:rPr>
              <w:t>BiLSTM (R2 = 0.93)</w:t>
            </w:r>
          </w:p>
        </w:tc>
        <w:tc>
          <w:tcPr>
            <w:tcW w:type="dxa" w:w="1881"/>
          </w:tcPr>
          <w:p>
            <w:r>
              <w:rPr>
                <w:rFonts w:ascii="Calibri" w:hAnsi="Calibri"/>
                <w:sz w:val="18"/>
              </w:rPr>
              <w:t>Aggregate series only</w:t>
            </w:r>
          </w:p>
        </w:tc>
      </w:tr>
      <w:tr>
        <w:tc>
          <w:tcPr>
            <w:tcW w:type="dxa" w:w="1881"/>
          </w:tcPr>
          <w:p>
            <w:r>
              <w:rPr>
                <w:rFonts w:ascii="Calibri" w:hAnsi="Calibri"/>
                <w:sz w:val="18"/>
              </w:rPr>
              <w:t>Çolak &amp; Özhan (2025)</w:t>
            </w:r>
          </w:p>
        </w:tc>
        <w:tc>
          <w:tcPr>
            <w:tcW w:type="dxa" w:w="1881"/>
          </w:tcPr>
          <w:p>
            <w:r>
              <w:rPr>
                <w:rFonts w:ascii="Calibri" w:hAnsi="Calibri"/>
                <w:sz w:val="18"/>
              </w:rPr>
              <w:t>Turkey renewable</w:t>
            </w:r>
          </w:p>
        </w:tc>
        <w:tc>
          <w:tcPr>
            <w:tcW w:type="dxa" w:w="1881"/>
          </w:tcPr>
          <w:p>
            <w:r>
              <w:rPr>
                <w:rFonts w:ascii="Calibri" w:hAnsi="Calibri"/>
                <w:sz w:val="18"/>
              </w:rPr>
              <w:t>LSTM, NNAR, ARIMA, ELM</w:t>
            </w:r>
          </w:p>
        </w:tc>
        <w:tc>
          <w:tcPr>
            <w:tcW w:type="dxa" w:w="1881"/>
          </w:tcPr>
          <w:p>
            <w:r>
              <w:rPr>
                <w:rFonts w:ascii="Calibri" w:hAnsi="Calibri"/>
                <w:sz w:val="18"/>
              </w:rPr>
              <w:t>LSTM (long-term best)</w:t>
            </w:r>
          </w:p>
        </w:tc>
        <w:tc>
          <w:tcPr>
            <w:tcW w:type="dxa" w:w="1881"/>
          </w:tcPr>
          <w:p>
            <w:r>
              <w:rPr>
                <w:rFonts w:ascii="Calibri" w:hAnsi="Calibri"/>
                <w:sz w:val="18"/>
              </w:rPr>
              <w:t>Annual resolution; coarse</w:t>
            </w:r>
          </w:p>
        </w:tc>
      </w:tr>
      <w:tr>
        <w:tc>
          <w:tcPr>
            <w:tcW w:type="dxa" w:w="1881"/>
          </w:tcPr>
          <w:p>
            <w:r>
              <w:rPr>
                <w:rFonts w:ascii="Calibri" w:hAnsi="Calibri"/>
                <w:sz w:val="18"/>
              </w:rPr>
              <w:t>Tamay &amp; Türker (2024)</w:t>
            </w:r>
          </w:p>
        </w:tc>
        <w:tc>
          <w:tcPr>
            <w:tcW w:type="dxa" w:w="1881"/>
          </w:tcPr>
          <w:p>
            <w:r>
              <w:rPr>
                <w:rFonts w:ascii="Calibri" w:hAnsi="Calibri"/>
                <w:sz w:val="18"/>
              </w:rPr>
              <w:t>PV, Denizli</w:t>
            </w:r>
          </w:p>
        </w:tc>
        <w:tc>
          <w:tcPr>
            <w:tcW w:type="dxa" w:w="1881"/>
          </w:tcPr>
          <w:p>
            <w:r>
              <w:rPr>
                <w:rFonts w:ascii="Calibri" w:hAnsi="Calibri"/>
                <w:sz w:val="18"/>
              </w:rPr>
              <w:t>XGBoost, KNN, RF, GBM</w:t>
            </w:r>
          </w:p>
        </w:tc>
        <w:tc>
          <w:tcPr>
            <w:tcW w:type="dxa" w:w="1881"/>
          </w:tcPr>
          <w:p>
            <w:r>
              <w:rPr>
                <w:rFonts w:ascii="Calibri" w:hAnsi="Calibri"/>
                <w:sz w:val="18"/>
              </w:rPr>
              <w:t>KNN (R2 = 0.97)</w:t>
            </w:r>
          </w:p>
        </w:tc>
        <w:tc>
          <w:tcPr>
            <w:tcW w:type="dxa" w:w="1881"/>
          </w:tcPr>
          <w:p>
            <w:r>
              <w:rPr>
                <w:rFonts w:ascii="Calibri" w:hAnsi="Calibri"/>
                <w:sz w:val="18"/>
              </w:rPr>
              <w:t>Tabular features only</w:t>
            </w:r>
          </w:p>
        </w:tc>
      </w:tr>
      <w:tr>
        <w:tc>
          <w:tcPr>
            <w:tcW w:type="dxa" w:w="1881"/>
          </w:tcPr>
          <w:p>
            <w:r>
              <w:rPr>
                <w:rFonts w:ascii="Calibri" w:hAnsi="Calibri"/>
                <w:sz w:val="18"/>
              </w:rPr>
              <w:t>Atalay &amp; Zor (2025)</w:t>
            </w:r>
          </w:p>
        </w:tc>
        <w:tc>
          <w:tcPr>
            <w:tcW w:type="dxa" w:w="1881"/>
          </w:tcPr>
          <w:p>
            <w:r>
              <w:rPr>
                <w:rFonts w:ascii="Calibri" w:hAnsi="Calibri"/>
                <w:sz w:val="18"/>
              </w:rPr>
              <w:t>Hydro, Aslantaş</w:t>
            </w:r>
          </w:p>
        </w:tc>
        <w:tc>
          <w:tcPr>
            <w:tcW w:type="dxa" w:w="1881"/>
          </w:tcPr>
          <w:p>
            <w:r>
              <w:rPr>
                <w:rFonts w:ascii="Calibri" w:hAnsi="Calibri"/>
                <w:sz w:val="18"/>
              </w:rPr>
              <w:t>XGBoost</w:t>
            </w:r>
          </w:p>
        </w:tc>
        <w:tc>
          <w:tcPr>
            <w:tcW w:type="dxa" w:w="1881"/>
          </w:tcPr>
          <w:p>
            <w:r>
              <w:rPr>
                <w:rFonts w:ascii="Calibri" w:hAnsi="Calibri"/>
                <w:sz w:val="18"/>
              </w:rPr>
              <w:t>XGBoost (R2 = 0.96)</w:t>
            </w:r>
          </w:p>
        </w:tc>
        <w:tc>
          <w:tcPr>
            <w:tcW w:type="dxa" w:w="1881"/>
          </w:tcPr>
          <w:p>
            <w:r>
              <w:rPr>
                <w:rFonts w:ascii="Calibri" w:hAnsi="Calibri"/>
                <w:sz w:val="18"/>
              </w:rPr>
              <w:t>Single model baseline</w:t>
            </w:r>
          </w:p>
        </w:tc>
      </w:tr>
      <w:tr>
        <w:tc>
          <w:tcPr>
            <w:tcW w:type="dxa" w:w="1881"/>
          </w:tcPr>
          <w:p>
            <w:r>
              <w:rPr>
                <w:rFonts w:ascii="Calibri" w:hAnsi="Calibri"/>
                <w:sz w:val="18"/>
              </w:rPr>
              <w:t>Vargas-Forero and others (2025)</w:t>
            </w:r>
          </w:p>
        </w:tc>
        <w:tc>
          <w:tcPr>
            <w:tcW w:type="dxa" w:w="1881"/>
          </w:tcPr>
          <w:p>
            <w:r>
              <w:rPr>
                <w:rFonts w:ascii="Calibri" w:hAnsi="Calibri"/>
                <w:sz w:val="18"/>
              </w:rPr>
              <w:t>Colombia demand</w:t>
            </w:r>
          </w:p>
        </w:tc>
        <w:tc>
          <w:tcPr>
            <w:tcW w:type="dxa" w:w="1881"/>
          </w:tcPr>
          <w:p>
            <w:r>
              <w:rPr>
                <w:rFonts w:ascii="Calibri" w:hAnsi="Calibri"/>
                <w:sz w:val="18"/>
              </w:rPr>
              <w:t>ARIMA, LSTM, Prophet</w:t>
            </w:r>
          </w:p>
        </w:tc>
        <w:tc>
          <w:tcPr>
            <w:tcW w:type="dxa" w:w="1881"/>
          </w:tcPr>
          <w:p>
            <w:r>
              <w:rPr>
                <w:rFonts w:ascii="Calibri" w:hAnsi="Calibri"/>
                <w:sz w:val="18"/>
              </w:rPr>
              <w:t>Prophet (MAPE = 4.1%)</w:t>
            </w:r>
          </w:p>
        </w:tc>
        <w:tc>
          <w:tcPr>
            <w:tcW w:type="dxa" w:w="1881"/>
          </w:tcPr>
          <w:p>
            <w:r>
              <w:rPr>
                <w:rFonts w:ascii="Calibri" w:hAnsi="Calibri"/>
                <w:sz w:val="18"/>
              </w:rPr>
              <w:t>No exogenous weather</w:t>
            </w:r>
          </w:p>
        </w:tc>
      </w:tr>
      <w:tr>
        <w:tc>
          <w:tcPr>
            <w:tcW w:type="dxa" w:w="1881"/>
          </w:tcPr>
          <w:p>
            <w:r>
              <w:rPr>
                <w:rFonts w:ascii="Calibri" w:hAnsi="Calibri"/>
                <w:sz w:val="18"/>
              </w:rPr>
              <w:t>Limouni and others (2023)</w:t>
            </w:r>
          </w:p>
        </w:tc>
        <w:tc>
          <w:tcPr>
            <w:tcW w:type="dxa" w:w="1881"/>
          </w:tcPr>
          <w:p>
            <w:r>
              <w:rPr>
                <w:rFonts w:ascii="Calibri" w:hAnsi="Calibri"/>
                <w:sz w:val="18"/>
              </w:rPr>
              <w:t>Solar PV generation</w:t>
            </w:r>
          </w:p>
        </w:tc>
        <w:tc>
          <w:tcPr>
            <w:tcW w:type="dxa" w:w="1881"/>
          </w:tcPr>
          <w:p>
            <w:r>
              <w:rPr>
                <w:rFonts w:ascii="Calibri" w:hAnsi="Calibri"/>
                <w:sz w:val="18"/>
              </w:rPr>
              <w:t>CNN-LSTM-Transformer hybrid</w:t>
            </w:r>
          </w:p>
        </w:tc>
        <w:tc>
          <w:tcPr>
            <w:tcW w:type="dxa" w:w="1881"/>
          </w:tcPr>
          <w:p>
            <w:r>
              <w:rPr>
                <w:rFonts w:ascii="Calibri" w:hAnsi="Calibri"/>
                <w:sz w:val="18"/>
              </w:rPr>
              <w:t>Hybrid &gt; ARIMA/Prophet</w:t>
            </w:r>
          </w:p>
        </w:tc>
        <w:tc>
          <w:tcPr>
            <w:tcW w:type="dxa" w:w="1881"/>
          </w:tcPr>
          <w:p>
            <w:r>
              <w:rPr>
                <w:rFonts w:ascii="Calibri" w:hAnsi="Calibri"/>
                <w:sz w:val="18"/>
              </w:rPr>
              <w:t>High model complexity</w:t>
            </w:r>
          </w:p>
        </w:tc>
      </w:tr>
      <w:tr>
        <w:tc>
          <w:tcPr>
            <w:tcW w:type="dxa" w:w="1881"/>
          </w:tcPr>
          <w:p>
            <w:r>
              <w:rPr>
                <w:rFonts w:ascii="Calibri" w:hAnsi="Calibri"/>
                <w:sz w:val="18"/>
              </w:rPr>
              <w:t>Xie and others (2022)</w:t>
            </w:r>
          </w:p>
        </w:tc>
        <w:tc>
          <w:tcPr>
            <w:tcW w:type="dxa" w:w="1881"/>
          </w:tcPr>
          <w:p>
            <w:r>
              <w:rPr>
                <w:rFonts w:ascii="Calibri" w:hAnsi="Calibri"/>
                <w:sz w:val="18"/>
              </w:rPr>
              <w:t>Building energy use</w:t>
            </w:r>
          </w:p>
        </w:tc>
        <w:tc>
          <w:tcPr>
            <w:tcW w:type="dxa" w:w="1881"/>
          </w:tcPr>
          <w:p>
            <w:r>
              <w:rPr>
                <w:rFonts w:ascii="Calibri" w:hAnsi="Calibri"/>
                <w:sz w:val="18"/>
              </w:rPr>
              <w:t>STL-Prophet-LSTM</w:t>
            </w:r>
          </w:p>
        </w:tc>
        <w:tc>
          <w:tcPr>
            <w:tcW w:type="dxa" w:w="1881"/>
          </w:tcPr>
          <w:p>
            <w:r>
              <w:rPr>
                <w:rFonts w:ascii="Calibri" w:hAnsi="Calibri"/>
                <w:sz w:val="18"/>
              </w:rPr>
              <w:t>Hybrid (lowest RMSE)</w:t>
            </w:r>
          </w:p>
        </w:tc>
        <w:tc>
          <w:tcPr>
            <w:tcW w:type="dxa" w:w="1881"/>
          </w:tcPr>
          <w:p>
            <w:r>
              <w:rPr>
                <w:rFonts w:ascii="Calibri" w:hAnsi="Calibri"/>
                <w:sz w:val="18"/>
              </w:rPr>
              <w:t>Requires STL tuning</w:t>
            </w:r>
          </w:p>
        </w:tc>
      </w:tr>
      <w:tr>
        <w:tc>
          <w:tcPr>
            <w:tcW w:type="dxa" w:w="1881"/>
          </w:tcPr>
          <w:p>
            <w:r>
              <w:rPr>
                <w:rFonts w:ascii="Calibri" w:hAnsi="Calibri"/>
                <w:sz w:val="18"/>
              </w:rPr>
              <w:t>Rahman and others (2025)</w:t>
            </w:r>
          </w:p>
        </w:tc>
        <w:tc>
          <w:tcPr>
            <w:tcW w:type="dxa" w:w="1881"/>
          </w:tcPr>
          <w:p>
            <w:r>
              <w:rPr>
                <w:rFonts w:ascii="Calibri" w:hAnsi="Calibri"/>
                <w:sz w:val="18"/>
              </w:rPr>
              <w:t>Renewables, Dhaka</w:t>
            </w:r>
          </w:p>
        </w:tc>
        <w:tc>
          <w:tcPr>
            <w:tcW w:type="dxa" w:w="1881"/>
          </w:tcPr>
          <w:p>
            <w:r>
              <w:rPr>
                <w:rFonts w:ascii="Calibri" w:hAnsi="Calibri"/>
                <w:sz w:val="18"/>
              </w:rPr>
              <w:t>ARIMA, SARIMA, LSTM</w:t>
            </w:r>
          </w:p>
        </w:tc>
        <w:tc>
          <w:tcPr>
            <w:tcW w:type="dxa" w:w="1881"/>
          </w:tcPr>
          <w:p>
            <w:r>
              <w:rPr>
                <w:rFonts w:ascii="Calibri" w:hAnsi="Calibri"/>
                <w:sz w:val="18"/>
              </w:rPr>
              <w:t>LSTM (lowest RMSE)</w:t>
            </w:r>
          </w:p>
        </w:tc>
        <w:tc>
          <w:tcPr>
            <w:tcW w:type="dxa" w:w="1881"/>
          </w:tcPr>
          <w:p>
            <w:r>
              <w:rPr>
                <w:rFonts w:ascii="Calibri" w:hAnsi="Calibri"/>
                <w:sz w:val="18"/>
              </w:rPr>
              <w:t>Single country scope</w:t>
            </w:r>
          </w:p>
        </w:tc>
      </w:tr>
      <w:tr>
        <w:tc>
          <w:tcPr>
            <w:tcW w:type="dxa" w:w="1881"/>
          </w:tcPr>
          <w:p>
            <w:r>
              <w:rPr>
                <w:rFonts w:ascii="Calibri" w:hAnsi="Calibri"/>
                <w:sz w:val="18"/>
              </w:rPr>
              <w:t>Gaviria-Chávez and others (2025)</w:t>
            </w:r>
          </w:p>
        </w:tc>
        <w:tc>
          <w:tcPr>
            <w:tcW w:type="dxa" w:w="1881"/>
          </w:tcPr>
          <w:p>
            <w:r>
              <w:rPr>
                <w:rFonts w:ascii="Calibri" w:hAnsi="Calibri"/>
                <w:sz w:val="18"/>
              </w:rPr>
              <w:t>REFIT households</w:t>
            </w:r>
          </w:p>
        </w:tc>
        <w:tc>
          <w:tcPr>
            <w:tcW w:type="dxa" w:w="1881"/>
          </w:tcPr>
          <w:p>
            <w:r>
              <w:rPr>
                <w:rFonts w:ascii="Calibri" w:hAnsi="Calibri"/>
                <w:sz w:val="18"/>
              </w:rPr>
              <w:t>SARIMA → TFT</w:t>
            </w:r>
          </w:p>
        </w:tc>
        <w:tc>
          <w:tcPr>
            <w:tcW w:type="dxa" w:w="1881"/>
          </w:tcPr>
          <w:p>
            <w:r>
              <w:rPr>
                <w:rFonts w:ascii="Calibri" w:hAnsi="Calibri"/>
                <w:sz w:val="18"/>
              </w:rPr>
              <w:t>TFT (RMSE = 481.9)</w:t>
            </w:r>
          </w:p>
        </w:tc>
        <w:tc>
          <w:tcPr>
            <w:tcW w:type="dxa" w:w="1881"/>
          </w:tcPr>
          <w:p>
            <w:r>
              <w:rPr>
                <w:rFonts w:ascii="Calibri" w:hAnsi="Calibri"/>
                <w:sz w:val="18"/>
              </w:rPr>
              <w:t>High compute cost</w:t>
            </w:r>
          </w:p>
        </w:tc>
      </w:tr>
      <w:tr>
        <w:tc>
          <w:tcPr>
            <w:tcW w:type="dxa" w:w="1881"/>
          </w:tcPr>
          <w:p>
            <w:r>
              <w:rPr>
                <w:rFonts w:ascii="Calibri" w:hAnsi="Calibri"/>
                <w:sz w:val="18"/>
              </w:rPr>
              <w:t>ResearchSquare (2025)</w:t>
            </w:r>
          </w:p>
        </w:tc>
        <w:tc>
          <w:tcPr>
            <w:tcW w:type="dxa" w:w="1881"/>
          </w:tcPr>
          <w:p>
            <w:r>
              <w:rPr>
                <w:rFonts w:ascii="Calibri" w:hAnsi="Calibri"/>
                <w:sz w:val="18"/>
              </w:rPr>
              <w:t>Smart meter (household)</w:t>
            </w:r>
          </w:p>
        </w:tc>
        <w:tc>
          <w:tcPr>
            <w:tcW w:type="dxa" w:w="1881"/>
          </w:tcPr>
          <w:p>
            <w:r>
              <w:rPr>
                <w:rFonts w:ascii="Calibri" w:hAnsi="Calibri"/>
                <w:sz w:val="18"/>
              </w:rPr>
              <w:t>ARIMA, LSTM</w:t>
            </w:r>
          </w:p>
        </w:tc>
        <w:tc>
          <w:tcPr>
            <w:tcW w:type="dxa" w:w="1881"/>
          </w:tcPr>
          <w:p>
            <w:r>
              <w:rPr>
                <w:rFonts w:ascii="Calibri" w:hAnsi="Calibri"/>
                <w:sz w:val="18"/>
              </w:rPr>
              <w:t>LSTM (MAPE = 3.0%)</w:t>
            </w:r>
          </w:p>
        </w:tc>
        <w:tc>
          <w:tcPr>
            <w:tcW w:type="dxa" w:w="1881"/>
          </w:tcPr>
          <w:p>
            <w:r>
              <w:rPr>
                <w:rFonts w:ascii="Calibri" w:hAnsi="Calibri"/>
                <w:sz w:val="18"/>
              </w:rPr>
              <w:t>Two households only</w:t>
            </w:r>
          </w:p>
        </w:tc>
      </w:tr>
      <w:tr>
        <w:tc>
          <w:tcPr>
            <w:tcW w:type="dxa" w:w="1881"/>
          </w:tcPr>
          <w:p>
            <w:r>
              <w:rPr>
                <w:rFonts w:ascii="Calibri" w:hAnsi="Calibri"/>
                <w:sz w:val="18"/>
              </w:rPr>
              <w:t>Sakib and others (2024)</w:t>
            </w:r>
          </w:p>
        </w:tc>
        <w:tc>
          <w:tcPr>
            <w:tcW w:type="dxa" w:w="1881"/>
          </w:tcPr>
          <w:p>
            <w:r>
              <w:rPr>
                <w:rFonts w:ascii="Calibri" w:hAnsi="Calibri"/>
                <w:sz w:val="18"/>
              </w:rPr>
              <w:t>Residential load</w:t>
            </w:r>
          </w:p>
        </w:tc>
        <w:tc>
          <w:tcPr>
            <w:tcW w:type="dxa" w:w="1881"/>
          </w:tcPr>
          <w:p>
            <w:r>
              <w:rPr>
                <w:rFonts w:ascii="Calibri" w:hAnsi="Calibri"/>
                <w:sz w:val="18"/>
              </w:rPr>
              <w:t>CNN-LSTM hybrid</w:t>
            </w:r>
          </w:p>
        </w:tc>
        <w:tc>
          <w:tcPr>
            <w:tcW w:type="dxa" w:w="1881"/>
          </w:tcPr>
          <w:p>
            <w:r>
              <w:rPr>
                <w:rFonts w:ascii="Calibri" w:hAnsi="Calibri"/>
                <w:sz w:val="18"/>
              </w:rPr>
              <w:t>Hybrid &gt; pure LSTM</w:t>
            </w:r>
          </w:p>
        </w:tc>
        <w:tc>
          <w:tcPr>
            <w:tcW w:type="dxa" w:w="1881"/>
          </w:tcPr>
          <w:p>
            <w:r>
              <w:rPr>
                <w:rFonts w:ascii="Calibri" w:hAnsi="Calibri"/>
                <w:sz w:val="18"/>
              </w:rPr>
              <w:t>Requires feature tuning</w:t>
            </w:r>
          </w:p>
        </w:tc>
      </w:tr>
    </w:tbl>
    <w:p/>
    <w:p>
      <w:pPr>
        <w:pStyle w:val="Heading2"/>
      </w:pPr>
      <w:r>
        <w:rPr>
          <w:rFonts w:ascii="Calibri" w:hAnsi="Calibri"/>
          <w:color w:val="003366"/>
        </w:rPr>
        <w:t>4. Critical Analysis</w:t>
      </w:r>
    </w:p>
    <w:p>
      <w:pPr>
        <w:jc w:val="both"/>
      </w:pPr>
      <w:r>
        <w:rPr>
          <w:rFonts w:ascii="Calibri" w:hAnsi="Calibri"/>
          <w:b/>
          <w:sz w:val="22"/>
        </w:rPr>
        <w:t xml:space="preserve">Trend 1 – Context-dependent model ranking. </w:t>
      </w:r>
      <w:r>
        <w:rPr>
          <w:rFonts w:ascii="Calibri" w:hAnsi="Calibri"/>
          <w:sz w:val="22"/>
        </w:rPr>
        <w:t xml:space="preserve">Three main patterns stand out in the reviewed literature. </w:t>
      </w:r>
    </w:p>
    <w:p>
      <w:pPr>
        <w:jc w:val="both"/>
      </w:pPr>
      <w:r>
        <w:rPr>
          <w:rFonts w:ascii="Calibri" w:hAnsi="Calibri"/>
          <w:sz w:val="22"/>
        </w:rPr>
        <w:t>No single architecture is universally best. ARIMA tends to win on short, stationary, linear energy series (Bülüç and others, 2025; Rahman and others, 2025), LSTM/BiLSTM win on long and nonlinear signals (Demirtop &amp; Sevli, 2024; Berus &amp; Yakut, 2024), Prophet wins when calendar effects dominate demand (Vargas-Forero and others, 2025), and Transformers win on very long multivariate data at the cost of compute (Gaviria-Chávez and others, 2025).</w:t>
      </w:r>
    </w:p>
    <w:p>
      <w:pPr>
        <w:jc w:val="both"/>
      </w:pPr>
      <w:r>
        <w:rPr>
          <w:rFonts w:ascii="Calibri" w:hAnsi="Calibri"/>
          <w:b/>
          <w:sz w:val="22"/>
        </w:rPr>
        <w:t xml:space="preserve">Trend 2 – Hybridization yields the largest gains. </w:t>
      </w:r>
      <w:r>
        <w:rPr>
          <w:rFonts w:ascii="Calibri" w:hAnsi="Calibri"/>
          <w:sz w:val="22"/>
        </w:rPr>
      </w:r>
    </w:p>
    <w:p>
      <w:pPr>
        <w:jc w:val="both"/>
      </w:pPr>
      <w:r>
        <w:rPr>
          <w:rFonts w:ascii="Calibri" w:hAnsi="Calibri"/>
          <w:sz w:val="22"/>
        </w:rPr>
        <w:t>Decomposition-based hybrids such as CNN-LSTM-Transformer (Limouni and others, 2023) for solar PV, STL-Prophet-LSTM (Xie and others, 2022) for building energy, and CNN-LSTM (Sakib and others, 2024) for residential load consistently outperform their individual components, suggesting that explicitly separating trend, seasonality, and residual dynamics is a fruitful design principle in energy applications.</w:t>
      </w:r>
    </w:p>
    <w:p>
      <w:pPr>
        <w:jc w:val="both"/>
      </w:pPr>
      <w:r>
        <w:rPr>
          <w:rFonts w:ascii="Calibri" w:hAnsi="Calibri"/>
          <w:b/>
          <w:sz w:val="22"/>
        </w:rPr>
        <w:t xml:space="preserve">Trend 3 – Persistent data-scale and feature limitations. </w:t>
      </w:r>
      <w:r>
        <w:rPr>
          <w:rFonts w:ascii="Calibri" w:hAnsi="Calibri"/>
          <w:sz w:val="22"/>
        </w:rPr>
      </w:r>
    </w:p>
    <w:p>
      <w:pPr>
        <w:jc w:val="both"/>
      </w:pPr>
      <w:r>
        <w:rPr>
          <w:rFonts w:ascii="Calibri" w:hAnsi="Calibri"/>
          <w:sz w:val="22"/>
        </w:rPr>
        <w:t>Many studies report negative or unstable results when training windows are shorter than six months or when key exogenous drivers (direct irradiance, household occupancy, appliance metadata) are missing. Gasparin and others (2024) explicitly show that persistence baselines beat deep models under these conditions, highlighting an ongoing need for longer, richer datasets and transfer-learning strategies.</w:t>
      </w:r>
    </w:p>
    <w:p>
      <w:pPr>
        <w:jc w:val="both"/>
      </w:pPr>
      <w:r>
        <w:rPr>
          <w:rFonts w:ascii="Calibri" w:hAnsi="Calibri"/>
          <w:b/>
          <w:sz w:val="22"/>
        </w:rPr>
        <w:t xml:space="preserve">Research gaps. </w:t>
      </w:r>
      <w:r>
        <w:rPr>
          <w:rFonts w:ascii="Calibri" w:hAnsi="Calibri"/>
          <w:sz w:val="22"/>
        </w:rPr>
      </w:r>
    </w:p>
    <w:p>
      <w:pPr>
        <w:jc w:val="both"/>
      </w:pPr>
      <w:r>
        <w:rPr>
          <w:rFonts w:ascii="Calibri" w:hAnsi="Calibri"/>
          <w:sz w:val="22"/>
        </w:rPr>
        <w:t>First, relatively few studies apply all three of ARIMA, LSTM, and Prophet to genuinely household-level (not aggregated) data under a rolling-forecast protocol. Second, the trade-off between accuracy and computational cost is rarely quantified, even though it is decisive for edge-deployed smart meters. Third, publicly available datasets such as REFIT are still under-exploited for cross-household transfer learning.</w:t>
      </w:r>
    </w:p>
    <w:p>
      <w:pPr>
        <w:pStyle w:val="Heading2"/>
      </w:pPr>
      <w:r>
        <w:rPr>
          <w:rFonts w:ascii="Calibri" w:hAnsi="Calibri"/>
          <w:color w:val="003366"/>
        </w:rPr>
        <w:t>5. Conclusion and Positioning of the Project</w:t>
      </w:r>
    </w:p>
    <w:p>
      <w:pPr>
        <w:jc w:val="both"/>
      </w:pPr>
      <w:r>
        <w:rPr>
          <w:rFonts w:ascii="Calibri" w:hAnsi="Calibri"/>
          <w:sz w:val="22"/>
        </w:rPr>
        <w:t>The reviewed literature indicates that no forecasting model is universally optimal; rather, the best choice depends on data horizon, noise level, and the presence of exogenous drivers. Building on this insight, our project will systematically compare ARIMA, LSTM, and FB-Prophet on the REFIT Smart Home dataset (Murray and others, 2017) using a single household as the test bed. In contrast to most prior work, we will adopt a rolling one-step-ahead protocol to better approximate real-time operation, and we will explicitly evaluate the accuracy-versus-complexity trade-off using MSE, RMSE, MAE, and R2. Early experiments already confirm the ARIMA advantage observed by Bülüç and others (2025) on short horizons, motivating future work on hybrid decomposition models and transfer learning across the 20 REFIT households. The literature has so far explored these directions only in isolation.</w:t>
      </w:r>
    </w:p>
    <w:p>
      <w:pPr>
        <w:pStyle w:val="Heading2"/>
      </w:pPr>
      <w:r>
        <w:rPr>
          <w:rFonts w:ascii="Calibri" w:hAnsi="Calibri"/>
          <w:color w:val="003366"/>
        </w:rPr>
        <w:t>References</w:t>
      </w:r>
    </w:p>
    <w:p>
      <w:pPr>
        <w:spacing w:after="60"/>
        <w:ind w:left="283" w:hanging="283"/>
      </w:pPr>
      <w:r>
        <w:rPr>
          <w:rFonts w:ascii="Calibri" w:hAnsi="Calibri"/>
          <w:sz w:val="18"/>
        </w:rPr>
        <w:t>[1] Atalay, B. A., &amp; Zor, K. (2025). XGBoost ile hidroelektrik enerji tahmini. Çukurova Üniversitesi Mühendislik Fakültesi Dergisi, 40(1), 205–218.</w:t>
      </w:r>
    </w:p>
    <w:p>
      <w:pPr>
        <w:spacing w:after="60"/>
        <w:ind w:left="283" w:hanging="283"/>
      </w:pPr>
      <w:r>
        <w:rPr>
          <w:rFonts w:ascii="Calibri" w:hAnsi="Calibri"/>
          <w:sz w:val="18"/>
        </w:rPr>
        <w:t>[2] Berus, Y., &amp; Yakut, Y. B. (2024). Derin öğrenme (1D-CNN, RNN, LSTM, BiLSTM) ile enerji tüketim tahmini: Diyarbakır AVM örneği. Dicle University Journal of Engineering, 15(2), 311–322.</w:t>
      </w:r>
    </w:p>
    <w:p>
      <w:pPr>
        <w:spacing w:after="60"/>
        <w:ind w:left="283" w:hanging="283"/>
      </w:pPr>
      <w:r>
        <w:rPr>
          <w:rFonts w:ascii="Calibri" w:hAnsi="Calibri"/>
          <w:sz w:val="18"/>
        </w:rPr>
        <w:t>[3] Bülüç, M., Sevli, O., &amp; Yünlü, L. (2025). Time Series Analysis of Solar Energy Production Based on Weather Conditions. GU J Sci, Part A, 12(4), 1060–1077.</w:t>
      </w:r>
    </w:p>
    <w:p>
      <w:pPr>
        <w:spacing w:after="60"/>
        <w:ind w:left="283" w:hanging="283"/>
      </w:pPr>
      <w:r>
        <w:rPr>
          <w:rFonts w:ascii="Calibri" w:hAnsi="Calibri"/>
          <w:sz w:val="18"/>
        </w:rPr>
        <w:t>[4] Çolak, M. B., &amp; Özhan, E. (2025). Renewable energy forecasting in Turkey: Analytical approaches. Journal of Intelligent Systems: Theory and Applications, 8(1), 25–34.</w:t>
      </w:r>
    </w:p>
    <w:p>
      <w:pPr>
        <w:spacing w:after="60"/>
        <w:ind w:left="283" w:hanging="283"/>
      </w:pPr>
      <w:r>
        <w:rPr>
          <w:rFonts w:ascii="Calibri" w:hAnsi="Calibri"/>
          <w:sz w:val="18"/>
        </w:rPr>
        <w:t>[5] Demirtop, A., &amp; Sevli, O. (2024). Wind speed prediction using LSTM and ARIMA time series analysis models: A case study of Gelibolu. Turkish Journal of Engineering, 8(3), 524–536.</w:t>
      </w:r>
    </w:p>
    <w:p>
      <w:pPr>
        <w:spacing w:after="60"/>
        <w:ind w:left="283" w:hanging="283"/>
      </w:pPr>
      <w:r>
        <w:rPr>
          <w:rFonts w:ascii="Calibri" w:hAnsi="Calibri"/>
          <w:sz w:val="18"/>
        </w:rPr>
        <w:t>[6] Gasparin, A., Lukovic, S., &amp; Alippi, C. (2024). Load Forecasting for Households and Energy Communities: Are Deep Learning Models Worth the Effort? arXiv:2501.05000.</w:t>
      </w:r>
    </w:p>
    <w:p>
      <w:pPr>
        <w:spacing w:after="60"/>
        <w:ind w:left="283" w:hanging="283"/>
      </w:pPr>
      <w:r>
        <w:rPr>
          <w:rFonts w:ascii="Calibri" w:hAnsi="Calibri"/>
          <w:sz w:val="18"/>
        </w:rPr>
        <w:t>[7] Gaviria-Chávez, F., and others (2025). Robust Probabilistic Load Forecasting for a Single Household: A Comparative Study from SARIMA to Transformers on the REFIT Dataset. arXiv:2512.00856.</w:t>
      </w:r>
    </w:p>
    <w:p>
      <w:pPr>
        <w:spacing w:after="60"/>
        <w:ind w:left="283" w:hanging="283"/>
      </w:pPr>
      <w:r>
        <w:rPr>
          <w:rFonts w:ascii="Calibri" w:hAnsi="Calibri"/>
          <w:sz w:val="18"/>
        </w:rPr>
        <w:t>[8] Li, K., Huang, W., Hu, G., &amp; Li, J. (2024). Enhancing multivariate, multi-step residential load forecasting with spatiotemporal graph attention-enabled Transformer. International Journal of Electrical Power &amp; Energy Systems, 159, 110049.</w:t>
      </w:r>
    </w:p>
    <w:p>
      <w:pPr>
        <w:spacing w:after="60"/>
        <w:ind w:left="283" w:hanging="283"/>
      </w:pPr>
      <w:r>
        <w:rPr>
          <w:rFonts w:ascii="Calibri" w:hAnsi="Calibri"/>
          <w:sz w:val="18"/>
        </w:rPr>
        <w:t>[9] Limouni, T., Yaagoubi, R., Bouziane, K., Guissi, K., &amp; Baali, E. H. (2023). Solar Energy Production Forecasting Based on a Hybrid CNN-LSTM-Transformer Model. Mathematics, 11(3), 676.</w:t>
      </w:r>
    </w:p>
    <w:p>
      <w:pPr>
        <w:spacing w:after="60"/>
        <w:ind w:left="283" w:hanging="283"/>
      </w:pPr>
      <w:r>
        <w:rPr>
          <w:rFonts w:ascii="Calibri" w:hAnsi="Calibri"/>
          <w:sz w:val="18"/>
        </w:rPr>
        <w:t>[10] Murray, D., Stankovic, L., &amp; Stankovic, V. (2017). An electrical load measurements dataset of United Kingdom households from a two-year longitudinal study. Scientific Data, 4, 160122.</w:t>
      </w:r>
    </w:p>
    <w:p>
      <w:pPr>
        <w:spacing w:after="60"/>
        <w:ind w:left="283" w:hanging="283"/>
      </w:pPr>
      <w:r>
        <w:rPr>
          <w:rFonts w:ascii="Calibri" w:hAnsi="Calibri"/>
          <w:sz w:val="18"/>
        </w:rPr>
        <w:t>[11] Rahman, M. R., and others (2025). Time-series and deep learning approaches for renewable energy forecasting in Dhaka: a comparative study of ARIMA, SARIMA, and LSTM models. Discover Sustainability, 6, 01733.</w:t>
      </w:r>
    </w:p>
    <w:p>
      <w:pPr>
        <w:spacing w:after="60"/>
        <w:ind w:left="283" w:hanging="283"/>
      </w:pPr>
      <w:r>
        <w:rPr>
          <w:rFonts w:ascii="Calibri" w:hAnsi="Calibri"/>
          <w:sz w:val="18"/>
        </w:rPr>
        <w:t>[12] Sakib, N., and others (2024). Deep learning-driven hybrid model for short-term load forecasting and smart grid information management. Scientific Reports, 14, 63262.</w:t>
      </w:r>
    </w:p>
    <w:p>
      <w:pPr>
        <w:spacing w:after="60"/>
        <w:ind w:left="283" w:hanging="283"/>
      </w:pPr>
      <w:r>
        <w:rPr>
          <w:rFonts w:ascii="Calibri" w:hAnsi="Calibri"/>
          <w:sz w:val="18"/>
        </w:rPr>
        <w:t>[13] Tamay, M., &amp; Türker, G. F. (2024). Machine learning based energy forecasting for photovoltaic solar plants. Yekarum, 9(2), 128–146.</w:t>
      </w:r>
    </w:p>
    <w:p>
      <w:pPr>
        <w:spacing w:after="60"/>
        <w:ind w:left="283" w:hanging="283"/>
      </w:pPr>
      <w:r>
        <w:rPr>
          <w:rFonts w:ascii="Calibri" w:hAnsi="Calibri"/>
          <w:sz w:val="18"/>
        </w:rPr>
        <w:t>[14] Triebe, O., Hewamalage, H., Pilyugina, P., Laptev, N., Bergmeir, C., &amp; Rajagopal, R. (2021). NeuralProphet: Explainable Forecasting at Scale. arXiv:2111.15397.</w:t>
      </w:r>
    </w:p>
    <w:p>
      <w:pPr>
        <w:spacing w:after="60"/>
        <w:ind w:left="283" w:hanging="283"/>
      </w:pPr>
      <w:r>
        <w:rPr>
          <w:rFonts w:ascii="Calibri" w:hAnsi="Calibri"/>
          <w:sz w:val="18"/>
        </w:rPr>
        <w:t>[15] Vargas-Forero, V. M., Manotas-Duque, D. F., &amp; Trujillo, L. (2025). Comparative study of forecasting methods to predict the energy demand for the market of Colombia. International Journal of Energy Economics and Policy, 15(1), 65–76.</w:t>
      </w:r>
    </w:p>
    <w:p>
      <w:pPr>
        <w:spacing w:after="60"/>
        <w:ind w:left="283" w:hanging="283"/>
      </w:pPr>
      <w:r>
        <w:rPr>
          <w:rFonts w:ascii="Calibri" w:hAnsi="Calibri"/>
          <w:sz w:val="18"/>
        </w:rPr>
        <w:t>[16] Xie, J., Li, Z., Zhou, Z., &amp; Liu, S. (2022). A hybrid forecasting model using LSTM and Prophet for energy consumption with decomposition of time series data. PeerJ Computer Science, 8, e1001.</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