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after="0"/>
        <w:jc w:val="center"/>
      </w:pPr>
    </w:p>
    <w:p>
      <w:pPr>
        <w:spacing w:before="0" w:after="280"/>
        <w:jc w:val="center"/>
      </w:pPr>
      <w:r>
        <w:rPr>
          <w:rFonts w:ascii="方正小标宋简体" w:hAnsi="方正小标宋简体" w:eastAsia="方正小标宋简体"/>
          <w:b/>
          <w:color w:val="000000"/>
          <w:sz w:val="44"/>
        </w:rPr>
        <w:t>803工程智能化项目货物及配套设备项目</w:t>
      </w:r>
    </w:p>
    <w:p>
      <w:pPr>
        <w:spacing w:before="0" w:after="280"/>
        <w:jc w:val="center"/>
      </w:pPr>
    </w:p>
    <w:p>
      <w:pPr>
        <w:spacing w:before="0" w:after="480"/>
        <w:jc w:val="center"/>
      </w:pPr>
      <w:r>
        <w:rPr>
          <w:rFonts w:ascii="方正小标宋简体" w:hAnsi="方正小标宋简体" w:eastAsia="方正小标宋简体"/>
          <w:b/>
          <w:color w:val="000000"/>
          <w:sz w:val="44"/>
        </w:rPr>
        <w:t>监   理   规   划</w:t>
      </w:r>
    </w:p>
    <w:p>
      <w:pPr>
        <w:spacing w:before="0" w:after="480"/>
        <w:jc w:val="center"/>
      </w:pPr>
      <w:r>
        <w:rPr>
          <w:rFonts w:ascii="黑体" w:hAnsi="黑体" w:eastAsia="黑体"/>
          <w:b w:val="0"/>
          <w:color w:val="000000"/>
          <w:sz w:val="28"/>
        </w:rPr>
        <w:t>JL-GH-PJ803-V3.0</w:t>
      </w:r>
    </w:p>
    <w:p>
      <w:pPr>
        <w:spacing w:before="0" w:after="200"/>
        <w:jc w:val="center"/>
      </w:pPr>
      <w:r>
        <w:rPr>
          <w:rFonts w:ascii="仿宋" w:hAnsi="仿宋" w:eastAsia="仿宋"/>
          <w:b w:val="0"/>
          <w:color w:val="000000"/>
          <w:sz w:val="28"/>
        </w:rPr>
        <w:t>编写：________________</w:t>
      </w:r>
    </w:p>
    <w:p>
      <w:pPr>
        <w:spacing w:before="0" w:after="200"/>
        <w:jc w:val="center"/>
      </w:pPr>
      <w:r>
        <w:rPr>
          <w:rFonts w:ascii="仿宋" w:hAnsi="仿宋" w:eastAsia="仿宋"/>
          <w:b w:val="0"/>
          <w:color w:val="000000"/>
          <w:sz w:val="28"/>
        </w:rPr>
        <w:t>审批：________________</w:t>
      </w:r>
    </w:p>
    <w:p>
      <w:pPr>
        <w:spacing w:before="0" w:after="200"/>
        <w:jc w:val="center"/>
      </w:pPr>
      <w:r>
        <w:rPr>
          <w:rFonts w:ascii="仿宋" w:hAnsi="仿宋" w:eastAsia="仿宋"/>
          <w:b w:val="0"/>
          <w:color w:val="000000"/>
          <w:sz w:val="28"/>
        </w:rPr>
        <w:t>监理单位：公诚管理咨询有限公司</w:t>
      </w:r>
    </w:p>
    <w:p>
      <w:pPr>
        <w:spacing w:before="0" w:after="960"/>
        <w:jc w:val="center"/>
      </w:pPr>
      <w:r>
        <w:rPr>
          <w:rFonts w:ascii="仿宋" w:hAnsi="仿宋" w:eastAsia="仿宋"/>
          <w:b w:val="0"/>
          <w:color w:val="000000"/>
          <w:sz w:val="28"/>
        </w:rPr>
        <w:t>编制日期：2026年 4月 29日</w:t>
      </w:r>
    </w:p>
    <w:p>
      <w:pPr>
        <w:spacing w:before="0" w:after="0"/>
        <w:jc w:val="center"/>
      </w:pPr>
      <w:r>
        <w:rPr>
          <w:rFonts w:ascii="仿宋" w:hAnsi="仿宋" w:eastAsia="仿宋"/>
          <w:b w:val="0"/>
          <w:color w:val="000000"/>
          <w:sz w:val="24"/>
        </w:rPr>
        <w:t>共_____页  第_____页</w:t>
      </w:r>
    </w:p>
    <w:p>
      <w:r>
        <w:br w:type="page"/>
      </w:r>
    </w:p>
    <w:p>
      <w:pPr>
        <w:spacing w:before="0" w:after="480"/>
        <w:jc w:val="center"/>
      </w:pPr>
      <w:r>
        <w:rPr>
          <w:rFonts w:ascii="方正小标宋简体" w:hAnsi="方正小标宋简体" w:eastAsia="方正小标宋简体"/>
          <w:b/>
          <w:color w:val="000000"/>
          <w:sz w:val="32"/>
        </w:rPr>
        <w:t>目  录</w:t>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4323"/>
        <w:gridCol w:w="4323"/>
      </w:tblGrid>
      <w:tr>
        <w:tc>
          <w:tcPr>
            <w:tcW w:type="dxa" w:w="4323"/>
          </w:tcPr>
          <w:p>
            <w:pPr>
              <w:spacing w:before="20" w:after="20"/>
            </w:pPr>
            <w:r>
              <w:rPr>
                <w:rFonts w:ascii="黑体" w:hAnsi="黑体"/>
                <w:b/>
                <w:color w:val="000000"/>
                <w:sz w:val="24"/>
              </w:rPr>
              <w:t>第一章 项目概况</w:t>
            </w:r>
          </w:p>
        </w:tc>
        <w:tc>
          <w:tcPr>
            <w:tcW w:type="dxa" w:w="4323"/>
          </w:tcPr>
          <w:p>
            <w:pPr>
              <w:jc w:val="right"/>
            </w:pPr>
            <w:r>
              <w:rPr>
                <w:rFonts w:ascii="Times New Roman" w:hAnsi="Times New Roman"/>
                <w:b/>
                <w:color w:val="000000"/>
                <w:sz w:val="24"/>
              </w:rPr>
              <w:t>1</w:t>
            </w:r>
          </w:p>
        </w:tc>
      </w:tr>
      <w:tr>
        <w:tc>
          <w:tcPr>
            <w:tcW w:type="dxa" w:w="4323"/>
          </w:tcPr>
          <w:p>
            <w:pPr>
              <w:spacing w:before="20" w:after="20"/>
            </w:pPr>
            <w:r>
              <w:rPr>
                <w:rFonts w:ascii="仿宋" w:hAnsi="仿宋"/>
                <w:b w:val="0"/>
                <w:color w:val="000000"/>
                <w:sz w:val="24"/>
              </w:rPr>
              <w:t>1.1 项目名称</w:t>
            </w:r>
          </w:p>
        </w:tc>
        <w:tc>
          <w:tcPr>
            <w:tcW w:type="dxa" w:w="4323"/>
          </w:tcPr>
          <w:p>
            <w:pPr>
              <w:jc w:val="right"/>
            </w:pPr>
            <w:r>
              <w:rPr>
                <w:rFonts w:ascii="Times New Roman" w:hAnsi="Times New Roman"/>
                <w:b w:val="0"/>
                <w:color w:val="000000"/>
                <w:sz w:val="24"/>
              </w:rPr>
              <w:t>—</w:t>
            </w:r>
          </w:p>
        </w:tc>
      </w:tr>
      <w:tr>
        <w:tc>
          <w:tcPr>
            <w:tcW w:type="dxa" w:w="4323"/>
          </w:tcPr>
          <w:p>
            <w:pPr>
              <w:spacing w:before="20" w:after="20"/>
            </w:pPr>
            <w:r>
              <w:rPr>
                <w:rFonts w:ascii="仿宋" w:hAnsi="仿宋"/>
                <w:b w:val="0"/>
                <w:color w:val="000000"/>
                <w:sz w:val="24"/>
              </w:rPr>
              <w:t>1.2 建设单位</w:t>
            </w:r>
          </w:p>
        </w:tc>
        <w:tc>
          <w:tcPr>
            <w:tcW w:type="dxa" w:w="4323"/>
          </w:tcPr>
          <w:p>
            <w:pPr>
              <w:jc w:val="right"/>
            </w:pPr>
            <w:r>
              <w:rPr>
                <w:rFonts w:ascii="Times New Roman" w:hAnsi="Times New Roman"/>
                <w:b w:val="0"/>
                <w:color w:val="000000"/>
                <w:sz w:val="24"/>
              </w:rPr>
              <w:t>—</w:t>
            </w:r>
          </w:p>
        </w:tc>
      </w:tr>
      <w:tr>
        <w:tc>
          <w:tcPr>
            <w:tcW w:type="dxa" w:w="4323"/>
          </w:tcPr>
          <w:p>
            <w:pPr>
              <w:spacing w:before="20" w:after="20"/>
            </w:pPr>
            <w:r>
              <w:rPr>
                <w:rFonts w:ascii="仿宋" w:hAnsi="仿宋"/>
                <w:b w:val="0"/>
                <w:color w:val="000000"/>
                <w:sz w:val="24"/>
              </w:rPr>
              <w:t>1.3 承建单位</w:t>
            </w:r>
          </w:p>
        </w:tc>
        <w:tc>
          <w:tcPr>
            <w:tcW w:type="dxa" w:w="4323"/>
          </w:tcPr>
          <w:p>
            <w:pPr>
              <w:jc w:val="right"/>
            </w:pPr>
            <w:r>
              <w:rPr>
                <w:rFonts w:ascii="Times New Roman" w:hAnsi="Times New Roman"/>
                <w:b w:val="0"/>
                <w:color w:val="000000"/>
                <w:sz w:val="24"/>
              </w:rPr>
              <w:t>—</w:t>
            </w:r>
          </w:p>
        </w:tc>
      </w:tr>
      <w:tr>
        <w:tc>
          <w:tcPr>
            <w:tcW w:type="dxa" w:w="4323"/>
          </w:tcPr>
          <w:p>
            <w:pPr>
              <w:spacing w:before="20" w:after="20"/>
            </w:pPr>
            <w:r>
              <w:rPr>
                <w:rFonts w:ascii="仿宋" w:hAnsi="仿宋"/>
                <w:b w:val="0"/>
                <w:color w:val="000000"/>
                <w:sz w:val="24"/>
              </w:rPr>
              <w:t>1.4 监理单位</w:t>
            </w:r>
          </w:p>
        </w:tc>
        <w:tc>
          <w:tcPr>
            <w:tcW w:type="dxa" w:w="4323"/>
          </w:tcPr>
          <w:p>
            <w:pPr>
              <w:jc w:val="right"/>
            </w:pPr>
            <w:r>
              <w:rPr>
                <w:rFonts w:ascii="Times New Roman" w:hAnsi="Times New Roman"/>
                <w:b w:val="0"/>
                <w:color w:val="000000"/>
                <w:sz w:val="24"/>
              </w:rPr>
              <w:t>—</w:t>
            </w:r>
          </w:p>
        </w:tc>
      </w:tr>
      <w:tr>
        <w:tc>
          <w:tcPr>
            <w:tcW w:type="dxa" w:w="4323"/>
          </w:tcPr>
          <w:p>
            <w:pPr>
              <w:spacing w:before="20" w:after="20"/>
            </w:pPr>
            <w:r>
              <w:rPr>
                <w:rFonts w:ascii="仿宋" w:hAnsi="仿宋"/>
                <w:b w:val="0"/>
                <w:color w:val="000000"/>
                <w:sz w:val="24"/>
              </w:rPr>
              <w:t>1.5 项目总投资</w:t>
            </w:r>
          </w:p>
        </w:tc>
        <w:tc>
          <w:tcPr>
            <w:tcW w:type="dxa" w:w="4323"/>
          </w:tcPr>
          <w:p>
            <w:pPr>
              <w:jc w:val="right"/>
            </w:pPr>
            <w:r>
              <w:rPr>
                <w:rFonts w:ascii="Times New Roman" w:hAnsi="Times New Roman"/>
                <w:b w:val="0"/>
                <w:color w:val="000000"/>
                <w:sz w:val="24"/>
              </w:rPr>
              <w:t>—</w:t>
            </w:r>
          </w:p>
        </w:tc>
      </w:tr>
      <w:tr>
        <w:tc>
          <w:tcPr>
            <w:tcW w:type="dxa" w:w="4323"/>
          </w:tcPr>
          <w:p>
            <w:pPr>
              <w:spacing w:before="20" w:after="20"/>
            </w:pPr>
            <w:r>
              <w:rPr>
                <w:rFonts w:ascii="仿宋" w:hAnsi="仿宋"/>
                <w:b w:val="0"/>
                <w:color w:val="000000"/>
                <w:sz w:val="24"/>
              </w:rPr>
              <w:t>1.6 计划工期</w:t>
            </w:r>
          </w:p>
        </w:tc>
        <w:tc>
          <w:tcPr>
            <w:tcW w:type="dxa" w:w="4323"/>
          </w:tcPr>
          <w:p>
            <w:pPr>
              <w:jc w:val="right"/>
            </w:pPr>
            <w:r>
              <w:rPr>
                <w:rFonts w:ascii="Times New Roman" w:hAnsi="Times New Roman"/>
                <w:b w:val="0"/>
                <w:color w:val="000000"/>
                <w:sz w:val="24"/>
              </w:rPr>
              <w:t>—</w:t>
            </w:r>
          </w:p>
        </w:tc>
      </w:tr>
      <w:tr>
        <w:tc>
          <w:tcPr>
            <w:tcW w:type="dxa" w:w="4323"/>
          </w:tcPr>
          <w:p>
            <w:pPr>
              <w:spacing w:before="20" w:after="20"/>
            </w:pPr>
            <w:r>
              <w:rPr>
                <w:rFonts w:ascii="仿宋" w:hAnsi="仿宋"/>
                <w:b w:val="0"/>
                <w:color w:val="000000"/>
                <w:sz w:val="24"/>
              </w:rPr>
              <w:t>1.7 工程规模与内容</w:t>
            </w:r>
          </w:p>
        </w:tc>
        <w:tc>
          <w:tcPr>
            <w:tcW w:type="dxa" w:w="4323"/>
          </w:tcPr>
          <w:p>
            <w:pPr>
              <w:jc w:val="right"/>
            </w:pPr>
            <w:r>
              <w:rPr>
                <w:rFonts w:ascii="Times New Roman" w:hAnsi="Times New Roman"/>
                <w:b w:val="0"/>
                <w:color w:val="000000"/>
                <w:sz w:val="24"/>
              </w:rPr>
              <w:t>—</w:t>
            </w:r>
          </w:p>
        </w:tc>
      </w:tr>
      <w:tr>
        <w:tc>
          <w:tcPr>
            <w:tcW w:type="dxa" w:w="4323"/>
          </w:tcPr>
          <w:p>
            <w:pPr>
              <w:spacing w:before="20" w:after="20"/>
            </w:pPr>
            <w:r>
              <w:rPr>
                <w:rFonts w:ascii="仿宋" w:hAnsi="仿宋"/>
                <w:b w:val="0"/>
                <w:color w:val="000000"/>
                <w:sz w:val="24"/>
              </w:rPr>
              <w:t>1.8 项目特点</w:t>
            </w:r>
          </w:p>
        </w:tc>
        <w:tc>
          <w:tcPr>
            <w:tcW w:type="dxa" w:w="4323"/>
          </w:tcPr>
          <w:p>
            <w:pPr>
              <w:jc w:val="right"/>
            </w:pPr>
            <w:r>
              <w:rPr>
                <w:rFonts w:ascii="Times New Roman" w:hAnsi="Times New Roman"/>
                <w:b w:val="0"/>
                <w:color w:val="000000"/>
                <w:sz w:val="24"/>
              </w:rPr>
              <w:t>—</w:t>
            </w:r>
          </w:p>
        </w:tc>
      </w:tr>
      <w:tr>
        <w:tc>
          <w:tcPr>
            <w:tcW w:type="dxa" w:w="4323"/>
          </w:tcPr>
          <w:p>
            <w:pPr>
              <w:spacing w:before="20" w:after="20"/>
            </w:pPr>
            <w:r>
              <w:rPr>
                <w:rFonts w:ascii="黑体" w:hAnsi="黑体"/>
                <w:b/>
                <w:color w:val="000000"/>
                <w:sz w:val="24"/>
              </w:rPr>
              <w:t>第二章 监理工作依据</w:t>
            </w:r>
          </w:p>
        </w:tc>
        <w:tc>
          <w:tcPr>
            <w:tcW w:type="dxa" w:w="4323"/>
          </w:tcPr>
          <w:p>
            <w:pPr>
              <w:jc w:val="right"/>
            </w:pPr>
            <w:r>
              <w:rPr>
                <w:rFonts w:ascii="Times New Roman" w:hAnsi="Times New Roman"/>
                <w:b/>
                <w:color w:val="000000"/>
                <w:sz w:val="24"/>
              </w:rPr>
              <w:t>2</w:t>
            </w:r>
          </w:p>
        </w:tc>
      </w:tr>
      <w:tr>
        <w:tc>
          <w:tcPr>
            <w:tcW w:type="dxa" w:w="4323"/>
          </w:tcPr>
          <w:p>
            <w:pPr>
              <w:spacing w:before="20" w:after="20"/>
            </w:pPr>
            <w:r>
              <w:rPr>
                <w:rFonts w:ascii="仿宋" w:hAnsi="仿宋"/>
                <w:b w:val="0"/>
                <w:color w:val="000000"/>
                <w:sz w:val="24"/>
              </w:rPr>
              <w:t>2.1 信息化工程监理有关法规</w:t>
            </w:r>
          </w:p>
        </w:tc>
        <w:tc>
          <w:tcPr>
            <w:tcW w:type="dxa" w:w="4323"/>
          </w:tcPr>
          <w:p>
            <w:pPr>
              <w:jc w:val="right"/>
            </w:pPr>
            <w:r>
              <w:rPr>
                <w:rFonts w:ascii="Times New Roman" w:hAnsi="Times New Roman"/>
                <w:b w:val="0"/>
                <w:color w:val="000000"/>
                <w:sz w:val="24"/>
              </w:rPr>
              <w:t>—</w:t>
            </w:r>
          </w:p>
        </w:tc>
      </w:tr>
      <w:tr>
        <w:tc>
          <w:tcPr>
            <w:tcW w:type="dxa" w:w="4323"/>
          </w:tcPr>
          <w:p>
            <w:pPr>
              <w:spacing w:before="20" w:after="20"/>
            </w:pPr>
            <w:r>
              <w:rPr>
                <w:rFonts w:ascii="仿宋" w:hAnsi="仿宋"/>
                <w:b w:val="0"/>
                <w:color w:val="000000"/>
                <w:sz w:val="24"/>
              </w:rPr>
              <w:t>2.2 与本项目有关的工程技术文件、合同及标准</w:t>
            </w:r>
          </w:p>
        </w:tc>
        <w:tc>
          <w:tcPr>
            <w:tcW w:type="dxa" w:w="4323"/>
          </w:tcPr>
          <w:p>
            <w:pPr>
              <w:jc w:val="right"/>
            </w:pPr>
            <w:r>
              <w:rPr>
                <w:rFonts w:ascii="Times New Roman" w:hAnsi="Times New Roman"/>
                <w:b w:val="0"/>
                <w:color w:val="000000"/>
                <w:sz w:val="24"/>
              </w:rPr>
              <w:t>—</w:t>
            </w:r>
          </w:p>
        </w:tc>
      </w:tr>
      <w:tr>
        <w:tc>
          <w:tcPr>
            <w:tcW w:type="dxa" w:w="4323"/>
          </w:tcPr>
          <w:p>
            <w:pPr>
              <w:spacing w:before="20" w:after="20"/>
            </w:pPr>
            <w:r>
              <w:rPr>
                <w:rFonts w:ascii="仿宋" w:hAnsi="仿宋"/>
                <w:b w:val="0"/>
                <w:color w:val="000000"/>
                <w:sz w:val="24"/>
              </w:rPr>
              <w:t>2.3 信息系统有关技术标准、规范</w:t>
            </w:r>
          </w:p>
        </w:tc>
        <w:tc>
          <w:tcPr>
            <w:tcW w:type="dxa" w:w="4323"/>
          </w:tcPr>
          <w:p>
            <w:pPr>
              <w:jc w:val="right"/>
            </w:pPr>
            <w:r>
              <w:rPr>
                <w:rFonts w:ascii="Times New Roman" w:hAnsi="Times New Roman"/>
                <w:b w:val="0"/>
                <w:color w:val="000000"/>
                <w:sz w:val="24"/>
              </w:rPr>
              <w:t>—</w:t>
            </w:r>
          </w:p>
        </w:tc>
      </w:tr>
      <w:tr>
        <w:tc>
          <w:tcPr>
            <w:tcW w:type="dxa" w:w="4323"/>
          </w:tcPr>
          <w:p>
            <w:pPr>
              <w:spacing w:before="20" w:after="20"/>
            </w:pPr>
            <w:r>
              <w:rPr>
                <w:rFonts w:ascii="仿宋" w:hAnsi="仿宋"/>
                <w:b w:val="0"/>
                <w:color w:val="000000"/>
                <w:sz w:val="24"/>
              </w:rPr>
              <w:t>2.4 其他依据</w:t>
            </w:r>
          </w:p>
        </w:tc>
        <w:tc>
          <w:tcPr>
            <w:tcW w:type="dxa" w:w="4323"/>
          </w:tcPr>
          <w:p>
            <w:pPr>
              <w:jc w:val="right"/>
            </w:pPr>
            <w:r>
              <w:rPr>
                <w:rFonts w:ascii="Times New Roman" w:hAnsi="Times New Roman"/>
                <w:b w:val="0"/>
                <w:color w:val="000000"/>
                <w:sz w:val="24"/>
              </w:rPr>
              <w:t>—</w:t>
            </w:r>
          </w:p>
        </w:tc>
      </w:tr>
      <w:tr>
        <w:tc>
          <w:tcPr>
            <w:tcW w:type="dxa" w:w="4323"/>
          </w:tcPr>
          <w:p>
            <w:pPr>
              <w:spacing w:before="20" w:after="20"/>
            </w:pPr>
            <w:r>
              <w:rPr>
                <w:rFonts w:ascii="黑体" w:hAnsi="黑体"/>
                <w:b/>
                <w:color w:val="000000"/>
                <w:sz w:val="24"/>
              </w:rPr>
              <w:t>第三章 监理范围与目标</w:t>
            </w:r>
          </w:p>
        </w:tc>
        <w:tc>
          <w:tcPr>
            <w:tcW w:type="dxa" w:w="4323"/>
          </w:tcPr>
          <w:p>
            <w:pPr>
              <w:jc w:val="right"/>
            </w:pPr>
            <w:r>
              <w:rPr>
                <w:rFonts w:ascii="Times New Roman" w:hAnsi="Times New Roman"/>
                <w:b/>
                <w:color w:val="000000"/>
                <w:sz w:val="24"/>
              </w:rPr>
              <w:t>3</w:t>
            </w:r>
          </w:p>
        </w:tc>
      </w:tr>
      <w:tr>
        <w:tc>
          <w:tcPr>
            <w:tcW w:type="dxa" w:w="4323"/>
          </w:tcPr>
          <w:p>
            <w:pPr>
              <w:spacing w:before="20" w:after="20"/>
            </w:pPr>
            <w:r>
              <w:rPr>
                <w:rFonts w:ascii="仿宋" w:hAnsi="仿宋"/>
                <w:b w:val="0"/>
                <w:color w:val="000000"/>
                <w:sz w:val="24"/>
              </w:rPr>
              <w:t>3.1 监理范围</w:t>
            </w:r>
          </w:p>
        </w:tc>
        <w:tc>
          <w:tcPr>
            <w:tcW w:type="dxa" w:w="4323"/>
          </w:tcPr>
          <w:p>
            <w:pPr>
              <w:jc w:val="right"/>
            </w:pPr>
            <w:r>
              <w:rPr>
                <w:rFonts w:ascii="Times New Roman" w:hAnsi="Times New Roman"/>
                <w:b w:val="0"/>
                <w:color w:val="000000"/>
                <w:sz w:val="24"/>
              </w:rPr>
              <w:t>—</w:t>
            </w:r>
          </w:p>
        </w:tc>
      </w:tr>
      <w:tr>
        <w:tc>
          <w:tcPr>
            <w:tcW w:type="dxa" w:w="4323"/>
          </w:tcPr>
          <w:p>
            <w:pPr>
              <w:spacing w:before="20" w:after="20"/>
            </w:pPr>
            <w:r>
              <w:rPr>
                <w:rFonts w:ascii="仿宋" w:hAnsi="仿宋"/>
                <w:b w:val="0"/>
                <w:color w:val="000000"/>
                <w:sz w:val="24"/>
              </w:rPr>
              <w:t>3.2 监理目标</w:t>
            </w:r>
          </w:p>
        </w:tc>
        <w:tc>
          <w:tcPr>
            <w:tcW w:type="dxa" w:w="4323"/>
          </w:tcPr>
          <w:p>
            <w:pPr>
              <w:jc w:val="right"/>
            </w:pPr>
            <w:r>
              <w:rPr>
                <w:rFonts w:ascii="Times New Roman" w:hAnsi="Times New Roman"/>
                <w:b w:val="0"/>
                <w:color w:val="000000"/>
                <w:sz w:val="24"/>
              </w:rPr>
              <w:t>—</w:t>
            </w:r>
          </w:p>
        </w:tc>
      </w:tr>
      <w:tr>
        <w:tc>
          <w:tcPr>
            <w:tcW w:type="dxa" w:w="4323"/>
          </w:tcPr>
          <w:p>
            <w:pPr>
              <w:spacing w:before="20" w:after="20"/>
            </w:pPr>
            <w:r>
              <w:rPr>
                <w:rFonts w:ascii="仿宋" w:hAnsi="仿宋"/>
                <w:b w:val="0"/>
                <w:color w:val="000000"/>
                <w:sz w:val="24"/>
              </w:rPr>
              <w:t>3.2.1 质量目标</w:t>
            </w:r>
          </w:p>
        </w:tc>
        <w:tc>
          <w:tcPr>
            <w:tcW w:type="dxa" w:w="4323"/>
          </w:tcPr>
          <w:p>
            <w:pPr>
              <w:jc w:val="right"/>
            </w:pPr>
            <w:r>
              <w:rPr>
                <w:rFonts w:ascii="Times New Roman" w:hAnsi="Times New Roman"/>
                <w:b w:val="0"/>
                <w:color w:val="000000"/>
                <w:sz w:val="24"/>
              </w:rPr>
              <w:t>—</w:t>
            </w:r>
          </w:p>
        </w:tc>
      </w:tr>
      <w:tr>
        <w:tc>
          <w:tcPr>
            <w:tcW w:type="dxa" w:w="4323"/>
          </w:tcPr>
          <w:p>
            <w:pPr>
              <w:spacing w:before="20" w:after="20"/>
            </w:pPr>
            <w:r>
              <w:rPr>
                <w:rFonts w:ascii="仿宋" w:hAnsi="仿宋"/>
                <w:b w:val="0"/>
                <w:color w:val="000000"/>
                <w:sz w:val="24"/>
              </w:rPr>
              <w:t>3.2.2 进度目标</w:t>
            </w:r>
          </w:p>
        </w:tc>
        <w:tc>
          <w:tcPr>
            <w:tcW w:type="dxa" w:w="4323"/>
          </w:tcPr>
          <w:p>
            <w:pPr>
              <w:jc w:val="right"/>
            </w:pPr>
            <w:r>
              <w:rPr>
                <w:rFonts w:ascii="Times New Roman" w:hAnsi="Times New Roman"/>
                <w:b w:val="0"/>
                <w:color w:val="000000"/>
                <w:sz w:val="24"/>
              </w:rPr>
              <w:t>—</w:t>
            </w:r>
          </w:p>
        </w:tc>
      </w:tr>
      <w:tr>
        <w:tc>
          <w:tcPr>
            <w:tcW w:type="dxa" w:w="4323"/>
          </w:tcPr>
          <w:p>
            <w:pPr>
              <w:spacing w:before="20" w:after="20"/>
            </w:pPr>
            <w:r>
              <w:rPr>
                <w:rFonts w:ascii="仿宋" w:hAnsi="仿宋"/>
                <w:b w:val="0"/>
                <w:color w:val="000000"/>
                <w:sz w:val="24"/>
              </w:rPr>
              <w:t>3.2.3 投资目标</w:t>
            </w:r>
          </w:p>
        </w:tc>
        <w:tc>
          <w:tcPr>
            <w:tcW w:type="dxa" w:w="4323"/>
          </w:tcPr>
          <w:p>
            <w:pPr>
              <w:jc w:val="right"/>
            </w:pPr>
            <w:r>
              <w:rPr>
                <w:rFonts w:ascii="Times New Roman" w:hAnsi="Times New Roman"/>
                <w:b w:val="0"/>
                <w:color w:val="000000"/>
                <w:sz w:val="24"/>
              </w:rPr>
              <w:t>—</w:t>
            </w:r>
          </w:p>
        </w:tc>
      </w:tr>
      <w:tr>
        <w:tc>
          <w:tcPr>
            <w:tcW w:type="dxa" w:w="4323"/>
          </w:tcPr>
          <w:p>
            <w:pPr>
              <w:spacing w:before="20" w:after="20"/>
            </w:pPr>
            <w:r>
              <w:rPr>
                <w:rFonts w:ascii="仿宋" w:hAnsi="仿宋"/>
                <w:b w:val="0"/>
                <w:color w:val="000000"/>
                <w:sz w:val="24"/>
              </w:rPr>
              <w:t>3.2.4 安全目标</w:t>
            </w:r>
          </w:p>
        </w:tc>
        <w:tc>
          <w:tcPr>
            <w:tcW w:type="dxa" w:w="4323"/>
          </w:tcPr>
          <w:p>
            <w:pPr>
              <w:jc w:val="right"/>
            </w:pPr>
            <w:r>
              <w:rPr>
                <w:rFonts w:ascii="Times New Roman" w:hAnsi="Times New Roman"/>
                <w:b w:val="0"/>
                <w:color w:val="000000"/>
                <w:sz w:val="24"/>
              </w:rPr>
              <w:t>—</w:t>
            </w:r>
          </w:p>
        </w:tc>
      </w:tr>
      <w:tr>
        <w:tc>
          <w:tcPr>
            <w:tcW w:type="dxa" w:w="4323"/>
          </w:tcPr>
          <w:p>
            <w:pPr>
              <w:spacing w:before="20" w:after="20"/>
            </w:pPr>
            <w:r>
              <w:rPr>
                <w:rFonts w:ascii="仿宋" w:hAnsi="仿宋"/>
                <w:b w:val="0"/>
                <w:color w:val="000000"/>
                <w:sz w:val="24"/>
              </w:rPr>
              <w:t>3.2.5 合同目标</w:t>
            </w:r>
          </w:p>
        </w:tc>
        <w:tc>
          <w:tcPr>
            <w:tcW w:type="dxa" w:w="4323"/>
          </w:tcPr>
          <w:p>
            <w:pPr>
              <w:jc w:val="right"/>
            </w:pPr>
            <w:r>
              <w:rPr>
                <w:rFonts w:ascii="Times New Roman" w:hAnsi="Times New Roman"/>
                <w:b w:val="0"/>
                <w:color w:val="000000"/>
                <w:sz w:val="24"/>
              </w:rPr>
              <w:t>—</w:t>
            </w:r>
          </w:p>
        </w:tc>
      </w:tr>
      <w:tr>
        <w:tc>
          <w:tcPr>
            <w:tcW w:type="dxa" w:w="4323"/>
          </w:tcPr>
          <w:p>
            <w:pPr>
              <w:spacing w:before="20" w:after="20"/>
            </w:pPr>
            <w:r>
              <w:rPr>
                <w:rFonts w:ascii="黑体" w:hAnsi="黑体"/>
                <w:b/>
                <w:color w:val="000000"/>
                <w:sz w:val="24"/>
              </w:rPr>
              <w:t>第四章 项目监理组织机构与人员配备</w:t>
            </w:r>
          </w:p>
        </w:tc>
        <w:tc>
          <w:tcPr>
            <w:tcW w:type="dxa" w:w="4323"/>
          </w:tcPr>
          <w:p>
            <w:pPr>
              <w:jc w:val="right"/>
            </w:pPr>
            <w:r>
              <w:rPr>
                <w:rFonts w:ascii="Times New Roman" w:hAnsi="Times New Roman"/>
                <w:b/>
                <w:color w:val="000000"/>
                <w:sz w:val="24"/>
              </w:rPr>
              <w:t>4</w:t>
            </w:r>
          </w:p>
        </w:tc>
      </w:tr>
      <w:tr>
        <w:tc>
          <w:tcPr>
            <w:tcW w:type="dxa" w:w="4323"/>
          </w:tcPr>
          <w:p>
            <w:pPr>
              <w:spacing w:before="20" w:after="20"/>
            </w:pPr>
            <w:r>
              <w:rPr>
                <w:rFonts w:ascii="仿宋" w:hAnsi="仿宋"/>
                <w:b w:val="0"/>
                <w:color w:val="000000"/>
                <w:sz w:val="24"/>
              </w:rPr>
              <w:t>4.1 项目监理组织架构</w:t>
            </w:r>
          </w:p>
        </w:tc>
        <w:tc>
          <w:tcPr>
            <w:tcW w:type="dxa" w:w="4323"/>
          </w:tcPr>
          <w:p>
            <w:pPr>
              <w:jc w:val="right"/>
            </w:pPr>
            <w:r>
              <w:rPr>
                <w:rFonts w:ascii="Times New Roman" w:hAnsi="Times New Roman"/>
                <w:b w:val="0"/>
                <w:color w:val="000000"/>
                <w:sz w:val="24"/>
              </w:rPr>
              <w:t>—</w:t>
            </w:r>
          </w:p>
        </w:tc>
      </w:tr>
      <w:tr>
        <w:tc>
          <w:tcPr>
            <w:tcW w:type="dxa" w:w="4323"/>
          </w:tcPr>
          <w:p>
            <w:pPr>
              <w:spacing w:before="20" w:after="20"/>
            </w:pPr>
            <w:r>
              <w:rPr>
                <w:rFonts w:ascii="仿宋" w:hAnsi="仿宋"/>
                <w:b w:val="0"/>
                <w:color w:val="000000"/>
                <w:sz w:val="24"/>
              </w:rPr>
              <w:t>4.2 监理人员配备</w:t>
            </w:r>
          </w:p>
        </w:tc>
        <w:tc>
          <w:tcPr>
            <w:tcW w:type="dxa" w:w="4323"/>
          </w:tcPr>
          <w:p>
            <w:pPr>
              <w:jc w:val="right"/>
            </w:pPr>
            <w:r>
              <w:rPr>
                <w:rFonts w:ascii="Times New Roman" w:hAnsi="Times New Roman"/>
                <w:b w:val="0"/>
                <w:color w:val="000000"/>
                <w:sz w:val="24"/>
              </w:rPr>
              <w:t>—</w:t>
            </w:r>
          </w:p>
        </w:tc>
      </w:tr>
      <w:tr>
        <w:tc>
          <w:tcPr>
            <w:tcW w:type="dxa" w:w="4323"/>
          </w:tcPr>
          <w:p>
            <w:pPr>
              <w:spacing w:before="20" w:after="20"/>
            </w:pPr>
            <w:r>
              <w:rPr>
                <w:rFonts w:ascii="仿宋" w:hAnsi="仿宋"/>
                <w:b w:val="0"/>
                <w:color w:val="000000"/>
                <w:sz w:val="24"/>
              </w:rPr>
              <w:t>4.3 总监理工程师职责</w:t>
            </w:r>
          </w:p>
        </w:tc>
        <w:tc>
          <w:tcPr>
            <w:tcW w:type="dxa" w:w="4323"/>
          </w:tcPr>
          <w:p>
            <w:pPr>
              <w:jc w:val="right"/>
            </w:pPr>
            <w:r>
              <w:rPr>
                <w:rFonts w:ascii="Times New Roman" w:hAnsi="Times New Roman"/>
                <w:b w:val="0"/>
                <w:color w:val="000000"/>
                <w:sz w:val="24"/>
              </w:rPr>
              <w:t>—</w:t>
            </w:r>
          </w:p>
        </w:tc>
      </w:tr>
      <w:tr>
        <w:tc>
          <w:tcPr>
            <w:tcW w:type="dxa" w:w="4323"/>
          </w:tcPr>
          <w:p>
            <w:pPr>
              <w:spacing w:before="20" w:after="20"/>
            </w:pPr>
            <w:r>
              <w:rPr>
                <w:rFonts w:ascii="仿宋" w:hAnsi="仿宋"/>
                <w:b w:val="0"/>
                <w:color w:val="000000"/>
                <w:sz w:val="24"/>
              </w:rPr>
              <w:t>4.4 各专业监理工程师职责</w:t>
            </w:r>
          </w:p>
        </w:tc>
        <w:tc>
          <w:tcPr>
            <w:tcW w:type="dxa" w:w="4323"/>
          </w:tcPr>
          <w:p>
            <w:pPr>
              <w:jc w:val="right"/>
            </w:pPr>
            <w:r>
              <w:rPr>
                <w:rFonts w:ascii="Times New Roman" w:hAnsi="Times New Roman"/>
                <w:b w:val="0"/>
                <w:color w:val="000000"/>
                <w:sz w:val="24"/>
              </w:rPr>
              <w:t>—</w:t>
            </w:r>
          </w:p>
        </w:tc>
      </w:tr>
      <w:tr>
        <w:tc>
          <w:tcPr>
            <w:tcW w:type="dxa" w:w="4323"/>
          </w:tcPr>
          <w:p>
            <w:pPr>
              <w:spacing w:before="20" w:after="20"/>
            </w:pPr>
            <w:r>
              <w:rPr>
                <w:rFonts w:ascii="仿宋" w:hAnsi="仿宋"/>
                <w:b w:val="0"/>
                <w:color w:val="000000"/>
                <w:sz w:val="24"/>
              </w:rPr>
              <w:t>4.5 人员资质要求</w:t>
            </w:r>
          </w:p>
        </w:tc>
        <w:tc>
          <w:tcPr>
            <w:tcW w:type="dxa" w:w="4323"/>
          </w:tcPr>
          <w:p>
            <w:pPr>
              <w:jc w:val="right"/>
            </w:pPr>
            <w:r>
              <w:rPr>
                <w:rFonts w:ascii="Times New Roman" w:hAnsi="Times New Roman"/>
                <w:b w:val="0"/>
                <w:color w:val="000000"/>
                <w:sz w:val="24"/>
              </w:rPr>
              <w:t>—</w:t>
            </w:r>
          </w:p>
        </w:tc>
      </w:tr>
      <w:tr>
        <w:tc>
          <w:tcPr>
            <w:tcW w:type="dxa" w:w="4323"/>
          </w:tcPr>
          <w:p>
            <w:pPr>
              <w:spacing w:before="20" w:after="20"/>
            </w:pPr>
            <w:r>
              <w:rPr>
                <w:rFonts w:ascii="黑体" w:hAnsi="黑体"/>
                <w:b/>
                <w:color w:val="000000"/>
                <w:sz w:val="24"/>
              </w:rPr>
              <w:t>第五章 项目管控措施</w:t>
            </w:r>
          </w:p>
        </w:tc>
        <w:tc>
          <w:tcPr>
            <w:tcW w:type="dxa" w:w="4323"/>
          </w:tcPr>
          <w:p>
            <w:pPr>
              <w:jc w:val="right"/>
            </w:pPr>
            <w:r>
              <w:rPr>
                <w:rFonts w:ascii="Times New Roman" w:hAnsi="Times New Roman"/>
                <w:b/>
                <w:color w:val="000000"/>
                <w:sz w:val="24"/>
              </w:rPr>
              <w:t>5</w:t>
            </w:r>
          </w:p>
        </w:tc>
      </w:tr>
      <w:tr>
        <w:tc>
          <w:tcPr>
            <w:tcW w:type="dxa" w:w="4323"/>
          </w:tcPr>
          <w:p>
            <w:pPr>
              <w:spacing w:before="20" w:after="20"/>
            </w:pPr>
            <w:r>
              <w:rPr>
                <w:rFonts w:ascii="仿宋" w:hAnsi="仿宋"/>
                <w:b w:val="0"/>
                <w:color w:val="000000"/>
                <w:sz w:val="24"/>
              </w:rPr>
              <w:t>5.1 质量控制</w:t>
            </w:r>
          </w:p>
        </w:tc>
        <w:tc>
          <w:tcPr>
            <w:tcW w:type="dxa" w:w="4323"/>
          </w:tcPr>
          <w:p>
            <w:pPr>
              <w:jc w:val="right"/>
            </w:pPr>
            <w:r>
              <w:rPr>
                <w:rFonts w:ascii="Times New Roman" w:hAnsi="Times New Roman"/>
                <w:b w:val="0"/>
                <w:color w:val="000000"/>
                <w:sz w:val="24"/>
              </w:rPr>
              <w:t>—</w:t>
            </w:r>
          </w:p>
        </w:tc>
      </w:tr>
      <w:tr>
        <w:tc>
          <w:tcPr>
            <w:tcW w:type="dxa" w:w="4323"/>
          </w:tcPr>
          <w:p>
            <w:pPr>
              <w:spacing w:before="20" w:after="20"/>
            </w:pPr>
            <w:r>
              <w:rPr>
                <w:rFonts w:ascii="仿宋" w:hAnsi="仿宋"/>
                <w:b w:val="0"/>
                <w:color w:val="000000"/>
                <w:sz w:val="24"/>
              </w:rPr>
              <w:t>5.2 进度控制</w:t>
            </w:r>
          </w:p>
        </w:tc>
        <w:tc>
          <w:tcPr>
            <w:tcW w:type="dxa" w:w="4323"/>
          </w:tcPr>
          <w:p>
            <w:pPr>
              <w:jc w:val="right"/>
            </w:pPr>
            <w:r>
              <w:rPr>
                <w:rFonts w:ascii="Times New Roman" w:hAnsi="Times New Roman"/>
                <w:b w:val="0"/>
                <w:color w:val="000000"/>
                <w:sz w:val="24"/>
              </w:rPr>
              <w:t>—</w:t>
            </w:r>
          </w:p>
        </w:tc>
      </w:tr>
      <w:tr>
        <w:tc>
          <w:tcPr>
            <w:tcW w:type="dxa" w:w="4323"/>
          </w:tcPr>
          <w:p>
            <w:pPr>
              <w:spacing w:before="20" w:after="20"/>
            </w:pPr>
            <w:r>
              <w:rPr>
                <w:rFonts w:ascii="仿宋" w:hAnsi="仿宋"/>
                <w:b w:val="0"/>
                <w:color w:val="000000"/>
                <w:sz w:val="24"/>
              </w:rPr>
              <w:t>5.3 投资控制</w:t>
            </w:r>
          </w:p>
        </w:tc>
        <w:tc>
          <w:tcPr>
            <w:tcW w:type="dxa" w:w="4323"/>
          </w:tcPr>
          <w:p>
            <w:pPr>
              <w:jc w:val="right"/>
            </w:pPr>
            <w:r>
              <w:rPr>
                <w:rFonts w:ascii="Times New Roman" w:hAnsi="Times New Roman"/>
                <w:b w:val="0"/>
                <w:color w:val="000000"/>
                <w:sz w:val="24"/>
              </w:rPr>
              <w:t>—</w:t>
            </w:r>
          </w:p>
        </w:tc>
      </w:tr>
      <w:tr>
        <w:tc>
          <w:tcPr>
            <w:tcW w:type="dxa" w:w="4323"/>
          </w:tcPr>
          <w:p>
            <w:pPr>
              <w:spacing w:before="20" w:after="20"/>
            </w:pPr>
            <w:r>
              <w:rPr>
                <w:rFonts w:ascii="仿宋" w:hAnsi="仿宋"/>
                <w:b w:val="0"/>
                <w:color w:val="000000"/>
                <w:sz w:val="24"/>
              </w:rPr>
              <w:t>5.4 变更管理</w:t>
            </w:r>
          </w:p>
        </w:tc>
        <w:tc>
          <w:tcPr>
            <w:tcW w:type="dxa" w:w="4323"/>
          </w:tcPr>
          <w:p>
            <w:pPr>
              <w:jc w:val="right"/>
            </w:pPr>
            <w:r>
              <w:rPr>
                <w:rFonts w:ascii="Times New Roman" w:hAnsi="Times New Roman"/>
                <w:b w:val="0"/>
                <w:color w:val="000000"/>
                <w:sz w:val="24"/>
              </w:rPr>
              <w:t>—</w:t>
            </w:r>
          </w:p>
        </w:tc>
      </w:tr>
      <w:tr>
        <w:tc>
          <w:tcPr>
            <w:tcW w:type="dxa" w:w="4323"/>
          </w:tcPr>
          <w:p>
            <w:pPr>
              <w:spacing w:before="20" w:after="20"/>
            </w:pPr>
            <w:r>
              <w:rPr>
                <w:rFonts w:ascii="仿宋" w:hAnsi="仿宋"/>
                <w:b w:val="0"/>
                <w:color w:val="000000"/>
                <w:sz w:val="24"/>
              </w:rPr>
              <w:t>5.5 合同管理</w:t>
            </w:r>
          </w:p>
        </w:tc>
        <w:tc>
          <w:tcPr>
            <w:tcW w:type="dxa" w:w="4323"/>
          </w:tcPr>
          <w:p>
            <w:pPr>
              <w:jc w:val="right"/>
            </w:pPr>
            <w:r>
              <w:rPr>
                <w:rFonts w:ascii="Times New Roman" w:hAnsi="Times New Roman"/>
                <w:b w:val="0"/>
                <w:color w:val="000000"/>
                <w:sz w:val="24"/>
              </w:rPr>
              <w:t>—</w:t>
            </w:r>
          </w:p>
        </w:tc>
      </w:tr>
      <w:tr>
        <w:tc>
          <w:tcPr>
            <w:tcW w:type="dxa" w:w="4323"/>
          </w:tcPr>
          <w:p>
            <w:pPr>
              <w:spacing w:before="20" w:after="20"/>
            </w:pPr>
            <w:r>
              <w:rPr>
                <w:rFonts w:ascii="仿宋" w:hAnsi="仿宋"/>
                <w:b w:val="0"/>
                <w:color w:val="000000"/>
                <w:sz w:val="24"/>
              </w:rPr>
              <w:t>5.6 信息管理</w:t>
            </w:r>
          </w:p>
        </w:tc>
        <w:tc>
          <w:tcPr>
            <w:tcW w:type="dxa" w:w="4323"/>
          </w:tcPr>
          <w:p>
            <w:pPr>
              <w:jc w:val="right"/>
            </w:pPr>
            <w:r>
              <w:rPr>
                <w:rFonts w:ascii="Times New Roman" w:hAnsi="Times New Roman"/>
                <w:b w:val="0"/>
                <w:color w:val="000000"/>
                <w:sz w:val="24"/>
              </w:rPr>
              <w:t>—</w:t>
            </w:r>
          </w:p>
        </w:tc>
      </w:tr>
      <w:tr>
        <w:tc>
          <w:tcPr>
            <w:tcW w:type="dxa" w:w="4323"/>
          </w:tcPr>
          <w:p>
            <w:pPr>
              <w:spacing w:before="20" w:after="20"/>
            </w:pPr>
            <w:r>
              <w:rPr>
                <w:rFonts w:ascii="仿宋" w:hAnsi="仿宋"/>
                <w:b w:val="0"/>
                <w:color w:val="000000"/>
                <w:sz w:val="24"/>
              </w:rPr>
              <w:t>5.7 组织协调</w:t>
            </w:r>
          </w:p>
        </w:tc>
        <w:tc>
          <w:tcPr>
            <w:tcW w:type="dxa" w:w="4323"/>
          </w:tcPr>
          <w:p>
            <w:pPr>
              <w:jc w:val="right"/>
            </w:pPr>
            <w:r>
              <w:rPr>
                <w:rFonts w:ascii="Times New Roman" w:hAnsi="Times New Roman"/>
                <w:b w:val="0"/>
                <w:color w:val="000000"/>
                <w:sz w:val="24"/>
              </w:rPr>
              <w:t>—</w:t>
            </w:r>
          </w:p>
        </w:tc>
      </w:tr>
      <w:tr>
        <w:tc>
          <w:tcPr>
            <w:tcW w:type="dxa" w:w="4323"/>
          </w:tcPr>
          <w:p>
            <w:pPr>
              <w:spacing w:before="20" w:after="20"/>
            </w:pPr>
            <w:r>
              <w:rPr>
                <w:rFonts w:ascii="仿宋" w:hAnsi="仿宋"/>
                <w:b w:val="0"/>
                <w:color w:val="000000"/>
                <w:sz w:val="24"/>
              </w:rPr>
              <w:t>5.8 安全管理</w:t>
            </w:r>
          </w:p>
        </w:tc>
        <w:tc>
          <w:tcPr>
            <w:tcW w:type="dxa" w:w="4323"/>
          </w:tcPr>
          <w:p>
            <w:pPr>
              <w:jc w:val="right"/>
            </w:pPr>
            <w:r>
              <w:rPr>
                <w:rFonts w:ascii="Times New Roman" w:hAnsi="Times New Roman"/>
                <w:b w:val="0"/>
                <w:color w:val="000000"/>
                <w:sz w:val="24"/>
              </w:rPr>
              <w:t>—</w:t>
            </w:r>
          </w:p>
        </w:tc>
      </w:tr>
      <w:tr>
        <w:tc>
          <w:tcPr>
            <w:tcW w:type="dxa" w:w="4323"/>
          </w:tcPr>
          <w:p>
            <w:pPr>
              <w:spacing w:before="20" w:after="20"/>
            </w:pPr>
            <w:r>
              <w:rPr>
                <w:rFonts w:ascii="仿宋" w:hAnsi="仿宋"/>
                <w:b w:val="0"/>
                <w:color w:val="000000"/>
                <w:sz w:val="24"/>
              </w:rPr>
              <w:t>5.9 风险管理</w:t>
            </w:r>
          </w:p>
        </w:tc>
        <w:tc>
          <w:tcPr>
            <w:tcW w:type="dxa" w:w="4323"/>
          </w:tcPr>
          <w:p>
            <w:pPr>
              <w:jc w:val="right"/>
            </w:pPr>
            <w:r>
              <w:rPr>
                <w:rFonts w:ascii="Times New Roman" w:hAnsi="Times New Roman"/>
                <w:b w:val="0"/>
                <w:color w:val="000000"/>
                <w:sz w:val="24"/>
              </w:rPr>
              <w:t>—</w:t>
            </w:r>
          </w:p>
        </w:tc>
      </w:tr>
      <w:tr>
        <w:tc>
          <w:tcPr>
            <w:tcW w:type="dxa" w:w="4323"/>
          </w:tcPr>
          <w:p>
            <w:pPr>
              <w:spacing w:before="20" w:after="20"/>
            </w:pPr>
            <w:r>
              <w:rPr>
                <w:rFonts w:ascii="仿宋" w:hAnsi="仿宋"/>
                <w:b w:val="0"/>
                <w:color w:val="000000"/>
                <w:sz w:val="24"/>
              </w:rPr>
              <w:t>5.10 知识产权管理</w:t>
            </w:r>
          </w:p>
        </w:tc>
        <w:tc>
          <w:tcPr>
            <w:tcW w:type="dxa" w:w="4323"/>
          </w:tcPr>
          <w:p>
            <w:pPr>
              <w:jc w:val="right"/>
            </w:pPr>
            <w:r>
              <w:rPr>
                <w:rFonts w:ascii="Times New Roman" w:hAnsi="Times New Roman"/>
                <w:b w:val="0"/>
                <w:color w:val="000000"/>
                <w:sz w:val="24"/>
              </w:rPr>
              <w:t>—</w:t>
            </w:r>
          </w:p>
        </w:tc>
      </w:tr>
      <w:tr>
        <w:tc>
          <w:tcPr>
            <w:tcW w:type="dxa" w:w="4323"/>
          </w:tcPr>
          <w:p>
            <w:pPr>
              <w:spacing w:before="20" w:after="20"/>
            </w:pPr>
            <w:r>
              <w:rPr>
                <w:rFonts w:ascii="黑体" w:hAnsi="黑体"/>
                <w:b/>
                <w:color w:val="000000"/>
                <w:sz w:val="24"/>
              </w:rPr>
              <w:t>第六章 项目监理要点</w:t>
            </w:r>
          </w:p>
        </w:tc>
        <w:tc>
          <w:tcPr>
            <w:tcW w:type="dxa" w:w="4323"/>
          </w:tcPr>
          <w:p>
            <w:pPr>
              <w:jc w:val="right"/>
            </w:pPr>
            <w:r>
              <w:rPr>
                <w:rFonts w:ascii="Times New Roman" w:hAnsi="Times New Roman"/>
                <w:b/>
                <w:color w:val="000000"/>
                <w:sz w:val="24"/>
              </w:rPr>
              <w:t>6</w:t>
            </w:r>
          </w:p>
        </w:tc>
      </w:tr>
      <w:tr>
        <w:tc>
          <w:tcPr>
            <w:tcW w:type="dxa" w:w="4323"/>
          </w:tcPr>
          <w:p>
            <w:pPr>
              <w:spacing w:before="20" w:after="20"/>
            </w:pPr>
            <w:r>
              <w:rPr>
                <w:rFonts w:ascii="仿宋" w:hAnsi="仿宋"/>
                <w:b w:val="0"/>
                <w:color w:val="000000"/>
                <w:sz w:val="24"/>
              </w:rPr>
              <w:t>6.1 需求管理监理要点</w:t>
            </w:r>
          </w:p>
        </w:tc>
        <w:tc>
          <w:tcPr>
            <w:tcW w:type="dxa" w:w="4323"/>
          </w:tcPr>
          <w:p>
            <w:pPr>
              <w:jc w:val="right"/>
            </w:pPr>
            <w:r>
              <w:rPr>
                <w:rFonts w:ascii="Times New Roman" w:hAnsi="Times New Roman"/>
                <w:b w:val="0"/>
                <w:color w:val="000000"/>
                <w:sz w:val="24"/>
              </w:rPr>
              <w:t>—</w:t>
            </w:r>
          </w:p>
        </w:tc>
      </w:tr>
      <w:tr>
        <w:tc>
          <w:tcPr>
            <w:tcW w:type="dxa" w:w="4323"/>
          </w:tcPr>
          <w:p>
            <w:pPr>
              <w:spacing w:before="20" w:after="20"/>
            </w:pPr>
            <w:r>
              <w:rPr>
                <w:rFonts w:ascii="仿宋" w:hAnsi="仿宋"/>
                <w:b w:val="0"/>
                <w:color w:val="000000"/>
                <w:sz w:val="24"/>
              </w:rPr>
              <w:t>6.2 设计开发监理要点</w:t>
            </w:r>
          </w:p>
        </w:tc>
        <w:tc>
          <w:tcPr>
            <w:tcW w:type="dxa" w:w="4323"/>
          </w:tcPr>
          <w:p>
            <w:pPr>
              <w:jc w:val="right"/>
            </w:pPr>
            <w:r>
              <w:rPr>
                <w:rFonts w:ascii="Times New Roman" w:hAnsi="Times New Roman"/>
                <w:b w:val="0"/>
                <w:color w:val="000000"/>
                <w:sz w:val="24"/>
              </w:rPr>
              <w:t>—</w:t>
            </w:r>
          </w:p>
        </w:tc>
      </w:tr>
      <w:tr>
        <w:tc>
          <w:tcPr>
            <w:tcW w:type="dxa" w:w="4323"/>
          </w:tcPr>
          <w:p>
            <w:pPr>
              <w:spacing w:before="20" w:after="20"/>
            </w:pPr>
            <w:r>
              <w:rPr>
                <w:rFonts w:ascii="仿宋" w:hAnsi="仿宋"/>
                <w:b w:val="0"/>
                <w:color w:val="000000"/>
                <w:sz w:val="24"/>
              </w:rPr>
              <w:t>6.3 软件测试监理要点</w:t>
            </w:r>
          </w:p>
        </w:tc>
        <w:tc>
          <w:tcPr>
            <w:tcW w:type="dxa" w:w="4323"/>
          </w:tcPr>
          <w:p>
            <w:pPr>
              <w:jc w:val="right"/>
            </w:pPr>
            <w:r>
              <w:rPr>
                <w:rFonts w:ascii="Times New Roman" w:hAnsi="Times New Roman"/>
                <w:b w:val="0"/>
                <w:color w:val="000000"/>
                <w:sz w:val="24"/>
              </w:rPr>
              <w:t>—</w:t>
            </w:r>
          </w:p>
        </w:tc>
      </w:tr>
      <w:tr>
        <w:tc>
          <w:tcPr>
            <w:tcW w:type="dxa" w:w="4323"/>
          </w:tcPr>
          <w:p>
            <w:pPr>
              <w:spacing w:before="20" w:after="20"/>
            </w:pPr>
            <w:r>
              <w:rPr>
                <w:rFonts w:ascii="仿宋" w:hAnsi="仿宋"/>
                <w:b w:val="0"/>
                <w:color w:val="000000"/>
                <w:sz w:val="24"/>
              </w:rPr>
              <w:t>6.4 系统集成监理要点</w:t>
            </w:r>
          </w:p>
        </w:tc>
        <w:tc>
          <w:tcPr>
            <w:tcW w:type="dxa" w:w="4323"/>
          </w:tcPr>
          <w:p>
            <w:pPr>
              <w:jc w:val="right"/>
            </w:pPr>
            <w:r>
              <w:rPr>
                <w:rFonts w:ascii="Times New Roman" w:hAnsi="Times New Roman"/>
                <w:b w:val="0"/>
                <w:color w:val="000000"/>
                <w:sz w:val="24"/>
              </w:rPr>
              <w:t>—</w:t>
            </w:r>
          </w:p>
        </w:tc>
      </w:tr>
      <w:tr>
        <w:tc>
          <w:tcPr>
            <w:tcW w:type="dxa" w:w="4323"/>
          </w:tcPr>
          <w:p>
            <w:pPr>
              <w:spacing w:before="20" w:after="20"/>
            </w:pPr>
            <w:r>
              <w:rPr>
                <w:rFonts w:ascii="仿宋" w:hAnsi="仿宋"/>
                <w:b w:val="0"/>
                <w:color w:val="000000"/>
                <w:sz w:val="24"/>
              </w:rPr>
              <w:t>6.5 网络与信息安全监理要点</w:t>
            </w:r>
          </w:p>
        </w:tc>
        <w:tc>
          <w:tcPr>
            <w:tcW w:type="dxa" w:w="4323"/>
          </w:tcPr>
          <w:p>
            <w:pPr>
              <w:jc w:val="right"/>
            </w:pPr>
            <w:r>
              <w:rPr>
                <w:rFonts w:ascii="Times New Roman" w:hAnsi="Times New Roman"/>
                <w:b w:val="0"/>
                <w:color w:val="000000"/>
                <w:sz w:val="24"/>
              </w:rPr>
              <w:t>—</w:t>
            </w:r>
          </w:p>
        </w:tc>
      </w:tr>
      <w:tr>
        <w:tc>
          <w:tcPr>
            <w:tcW w:type="dxa" w:w="4323"/>
          </w:tcPr>
          <w:p>
            <w:pPr>
              <w:spacing w:before="20" w:after="20"/>
            </w:pPr>
            <w:r>
              <w:rPr>
                <w:rFonts w:ascii="仿宋" w:hAnsi="仿宋"/>
                <w:b w:val="0"/>
                <w:color w:val="000000"/>
                <w:sz w:val="24"/>
              </w:rPr>
              <w:t>6.6 数据与数据库监理要点</w:t>
            </w:r>
          </w:p>
        </w:tc>
        <w:tc>
          <w:tcPr>
            <w:tcW w:type="dxa" w:w="4323"/>
          </w:tcPr>
          <w:p>
            <w:pPr>
              <w:jc w:val="right"/>
            </w:pPr>
            <w:r>
              <w:rPr>
                <w:rFonts w:ascii="Times New Roman" w:hAnsi="Times New Roman"/>
                <w:b w:val="0"/>
                <w:color w:val="000000"/>
                <w:sz w:val="24"/>
              </w:rPr>
              <w:t>—</w:t>
            </w:r>
          </w:p>
        </w:tc>
      </w:tr>
      <w:tr>
        <w:tc>
          <w:tcPr>
            <w:tcW w:type="dxa" w:w="4323"/>
          </w:tcPr>
          <w:p>
            <w:pPr>
              <w:spacing w:before="20" w:after="20"/>
            </w:pPr>
            <w:r>
              <w:rPr>
                <w:rFonts w:ascii="仿宋" w:hAnsi="仿宋"/>
                <w:b w:val="0"/>
                <w:color w:val="000000"/>
                <w:sz w:val="24"/>
              </w:rPr>
              <w:t>6.7 设备材料到货验收监理要点</w:t>
            </w:r>
          </w:p>
        </w:tc>
        <w:tc>
          <w:tcPr>
            <w:tcW w:type="dxa" w:w="4323"/>
          </w:tcPr>
          <w:p>
            <w:pPr>
              <w:jc w:val="right"/>
            </w:pPr>
            <w:r>
              <w:rPr>
                <w:rFonts w:ascii="Times New Roman" w:hAnsi="Times New Roman"/>
                <w:b w:val="0"/>
                <w:color w:val="000000"/>
                <w:sz w:val="24"/>
              </w:rPr>
              <w:t>—</w:t>
            </w:r>
          </w:p>
        </w:tc>
      </w:tr>
      <w:tr>
        <w:tc>
          <w:tcPr>
            <w:tcW w:type="dxa" w:w="4323"/>
          </w:tcPr>
          <w:p>
            <w:pPr>
              <w:spacing w:before="20" w:after="20"/>
            </w:pPr>
            <w:r>
              <w:rPr>
                <w:rFonts w:ascii="仿宋" w:hAnsi="仿宋"/>
                <w:b w:val="0"/>
                <w:color w:val="000000"/>
                <w:sz w:val="24"/>
              </w:rPr>
              <w:t>6.8 安装调试监理要点</w:t>
            </w:r>
          </w:p>
        </w:tc>
        <w:tc>
          <w:tcPr>
            <w:tcW w:type="dxa" w:w="4323"/>
          </w:tcPr>
          <w:p>
            <w:pPr>
              <w:jc w:val="right"/>
            </w:pPr>
            <w:r>
              <w:rPr>
                <w:rFonts w:ascii="Times New Roman" w:hAnsi="Times New Roman"/>
                <w:b w:val="0"/>
                <w:color w:val="000000"/>
                <w:sz w:val="24"/>
              </w:rPr>
              <w:t>—</w:t>
            </w:r>
          </w:p>
        </w:tc>
      </w:tr>
      <w:tr>
        <w:tc>
          <w:tcPr>
            <w:tcW w:type="dxa" w:w="4323"/>
          </w:tcPr>
          <w:p>
            <w:pPr>
              <w:spacing w:before="20" w:after="20"/>
            </w:pPr>
            <w:r>
              <w:rPr>
                <w:rFonts w:ascii="仿宋" w:hAnsi="仿宋"/>
                <w:b w:val="0"/>
                <w:color w:val="000000"/>
                <w:sz w:val="24"/>
              </w:rPr>
              <w:t>6.9 系统试运行监理要点</w:t>
            </w:r>
          </w:p>
        </w:tc>
        <w:tc>
          <w:tcPr>
            <w:tcW w:type="dxa" w:w="4323"/>
          </w:tcPr>
          <w:p>
            <w:pPr>
              <w:jc w:val="right"/>
            </w:pPr>
            <w:r>
              <w:rPr>
                <w:rFonts w:ascii="Times New Roman" w:hAnsi="Times New Roman"/>
                <w:b w:val="0"/>
                <w:color w:val="000000"/>
                <w:sz w:val="24"/>
              </w:rPr>
              <w:t>—</w:t>
            </w:r>
          </w:p>
        </w:tc>
      </w:tr>
      <w:tr>
        <w:tc>
          <w:tcPr>
            <w:tcW w:type="dxa" w:w="4323"/>
          </w:tcPr>
          <w:p>
            <w:pPr>
              <w:spacing w:before="20" w:after="20"/>
            </w:pPr>
            <w:r>
              <w:rPr>
                <w:rFonts w:ascii="仿宋" w:hAnsi="仿宋"/>
                <w:b w:val="0"/>
                <w:color w:val="000000"/>
                <w:sz w:val="24"/>
              </w:rPr>
              <w:t>6.10 竣工验收监理要点</w:t>
            </w:r>
          </w:p>
        </w:tc>
        <w:tc>
          <w:tcPr>
            <w:tcW w:type="dxa" w:w="4323"/>
          </w:tcPr>
          <w:p>
            <w:pPr>
              <w:jc w:val="right"/>
            </w:pPr>
            <w:r>
              <w:rPr>
                <w:rFonts w:ascii="Times New Roman" w:hAnsi="Times New Roman"/>
                <w:b w:val="0"/>
                <w:color w:val="000000"/>
                <w:sz w:val="24"/>
              </w:rPr>
              <w:t>—</w:t>
            </w:r>
          </w:p>
        </w:tc>
      </w:tr>
      <w:tr>
        <w:tc>
          <w:tcPr>
            <w:tcW w:type="dxa" w:w="4323"/>
          </w:tcPr>
          <w:p>
            <w:pPr>
              <w:spacing w:before="20" w:after="20"/>
            </w:pPr>
            <w:r>
              <w:rPr>
                <w:rFonts w:ascii="黑体" w:hAnsi="黑体"/>
                <w:b/>
                <w:color w:val="000000"/>
                <w:sz w:val="24"/>
              </w:rPr>
              <w:t>第七章 信息管理</w:t>
            </w:r>
          </w:p>
        </w:tc>
        <w:tc>
          <w:tcPr>
            <w:tcW w:type="dxa" w:w="4323"/>
          </w:tcPr>
          <w:p>
            <w:pPr>
              <w:jc w:val="right"/>
            </w:pPr>
            <w:r>
              <w:rPr>
                <w:rFonts w:ascii="Times New Roman" w:hAnsi="Times New Roman"/>
                <w:b/>
                <w:color w:val="000000"/>
                <w:sz w:val="24"/>
              </w:rPr>
              <w:t>7</w:t>
            </w:r>
          </w:p>
        </w:tc>
      </w:tr>
      <w:tr>
        <w:tc>
          <w:tcPr>
            <w:tcW w:type="dxa" w:w="4323"/>
          </w:tcPr>
          <w:p>
            <w:pPr>
              <w:spacing w:before="20" w:after="20"/>
            </w:pPr>
            <w:r>
              <w:rPr>
                <w:rFonts w:ascii="仿宋" w:hAnsi="仿宋"/>
                <w:b w:val="0"/>
                <w:color w:val="000000"/>
                <w:sz w:val="24"/>
              </w:rPr>
              <w:t>7.1 信息管理目标</w:t>
            </w:r>
          </w:p>
        </w:tc>
        <w:tc>
          <w:tcPr>
            <w:tcW w:type="dxa" w:w="4323"/>
          </w:tcPr>
          <w:p>
            <w:pPr>
              <w:jc w:val="right"/>
            </w:pPr>
            <w:r>
              <w:rPr>
                <w:rFonts w:ascii="Times New Roman" w:hAnsi="Times New Roman"/>
                <w:b w:val="0"/>
                <w:color w:val="000000"/>
                <w:sz w:val="24"/>
              </w:rPr>
              <w:t>—</w:t>
            </w:r>
          </w:p>
        </w:tc>
      </w:tr>
      <w:tr>
        <w:tc>
          <w:tcPr>
            <w:tcW w:type="dxa" w:w="4323"/>
          </w:tcPr>
          <w:p>
            <w:pPr>
              <w:spacing w:before="20" w:after="20"/>
            </w:pPr>
            <w:r>
              <w:rPr>
                <w:rFonts w:ascii="仿宋" w:hAnsi="仿宋"/>
                <w:b w:val="0"/>
                <w:color w:val="000000"/>
                <w:sz w:val="24"/>
              </w:rPr>
              <w:t>7.2 信息沟通机制</w:t>
            </w:r>
          </w:p>
        </w:tc>
        <w:tc>
          <w:tcPr>
            <w:tcW w:type="dxa" w:w="4323"/>
          </w:tcPr>
          <w:p>
            <w:pPr>
              <w:jc w:val="right"/>
            </w:pPr>
            <w:r>
              <w:rPr>
                <w:rFonts w:ascii="Times New Roman" w:hAnsi="Times New Roman"/>
                <w:b w:val="0"/>
                <w:color w:val="000000"/>
                <w:sz w:val="24"/>
              </w:rPr>
              <w:t>—</w:t>
            </w:r>
          </w:p>
        </w:tc>
      </w:tr>
      <w:tr>
        <w:tc>
          <w:tcPr>
            <w:tcW w:type="dxa" w:w="4323"/>
          </w:tcPr>
          <w:p>
            <w:pPr>
              <w:spacing w:before="20" w:after="20"/>
            </w:pPr>
            <w:r>
              <w:rPr>
                <w:rFonts w:ascii="仿宋" w:hAnsi="仿宋"/>
                <w:b w:val="0"/>
                <w:color w:val="000000"/>
                <w:sz w:val="24"/>
              </w:rPr>
              <w:t>7.3 项目报告制度</w:t>
            </w:r>
          </w:p>
        </w:tc>
        <w:tc>
          <w:tcPr>
            <w:tcW w:type="dxa" w:w="4323"/>
          </w:tcPr>
          <w:p>
            <w:pPr>
              <w:jc w:val="right"/>
            </w:pPr>
            <w:r>
              <w:rPr>
                <w:rFonts w:ascii="Times New Roman" w:hAnsi="Times New Roman"/>
                <w:b w:val="0"/>
                <w:color w:val="000000"/>
                <w:sz w:val="24"/>
              </w:rPr>
              <w:t>—</w:t>
            </w:r>
          </w:p>
        </w:tc>
      </w:tr>
      <w:tr>
        <w:tc>
          <w:tcPr>
            <w:tcW w:type="dxa" w:w="4323"/>
          </w:tcPr>
          <w:p>
            <w:pPr>
              <w:spacing w:before="20" w:after="20"/>
            </w:pPr>
            <w:r>
              <w:rPr>
                <w:rFonts w:ascii="仿宋" w:hAnsi="仿宋"/>
                <w:b w:val="0"/>
                <w:color w:val="000000"/>
                <w:sz w:val="24"/>
              </w:rPr>
              <w:t>7.4 文档管理要求</w:t>
            </w:r>
          </w:p>
        </w:tc>
        <w:tc>
          <w:tcPr>
            <w:tcW w:type="dxa" w:w="4323"/>
          </w:tcPr>
          <w:p>
            <w:pPr>
              <w:jc w:val="right"/>
            </w:pPr>
            <w:r>
              <w:rPr>
                <w:rFonts w:ascii="Times New Roman" w:hAnsi="Times New Roman"/>
                <w:b w:val="0"/>
                <w:color w:val="000000"/>
                <w:sz w:val="24"/>
              </w:rPr>
              <w:t>—</w:t>
            </w:r>
          </w:p>
        </w:tc>
      </w:tr>
      <w:tr>
        <w:tc>
          <w:tcPr>
            <w:tcW w:type="dxa" w:w="4323"/>
          </w:tcPr>
          <w:p>
            <w:pPr>
              <w:spacing w:before="20" w:after="20"/>
            </w:pPr>
            <w:r>
              <w:rPr>
                <w:rFonts w:ascii="仿宋" w:hAnsi="仿宋"/>
                <w:b w:val="0"/>
                <w:color w:val="000000"/>
                <w:sz w:val="24"/>
              </w:rPr>
              <w:t>7.5 档案归档要求</w:t>
            </w:r>
          </w:p>
        </w:tc>
        <w:tc>
          <w:tcPr>
            <w:tcW w:type="dxa" w:w="4323"/>
          </w:tcPr>
          <w:p>
            <w:pPr>
              <w:jc w:val="right"/>
            </w:pPr>
            <w:r>
              <w:rPr>
                <w:rFonts w:ascii="Times New Roman" w:hAnsi="Times New Roman"/>
                <w:b w:val="0"/>
                <w:color w:val="000000"/>
                <w:sz w:val="24"/>
              </w:rPr>
              <w:t>—</w:t>
            </w:r>
          </w:p>
        </w:tc>
      </w:tr>
      <w:tr>
        <w:tc>
          <w:tcPr>
            <w:tcW w:type="dxa" w:w="4323"/>
          </w:tcPr>
          <w:p>
            <w:pPr>
              <w:spacing w:before="20" w:after="20"/>
            </w:pPr>
            <w:r>
              <w:rPr>
                <w:rFonts w:ascii="黑体" w:hAnsi="黑体"/>
                <w:b/>
                <w:color w:val="000000"/>
                <w:sz w:val="24"/>
              </w:rPr>
              <w:t>第八章 监理工作制度</w:t>
            </w:r>
          </w:p>
        </w:tc>
        <w:tc>
          <w:tcPr>
            <w:tcW w:type="dxa" w:w="4323"/>
          </w:tcPr>
          <w:p>
            <w:pPr>
              <w:jc w:val="right"/>
            </w:pPr>
            <w:r>
              <w:rPr>
                <w:rFonts w:ascii="Times New Roman" w:hAnsi="Times New Roman"/>
                <w:b/>
                <w:color w:val="000000"/>
                <w:sz w:val="24"/>
              </w:rPr>
              <w:t>8</w:t>
            </w:r>
          </w:p>
        </w:tc>
      </w:tr>
      <w:tr>
        <w:tc>
          <w:tcPr>
            <w:tcW w:type="dxa" w:w="4323"/>
          </w:tcPr>
          <w:p>
            <w:pPr>
              <w:spacing w:before="20" w:after="20"/>
            </w:pPr>
            <w:r>
              <w:rPr>
                <w:rFonts w:ascii="仿宋" w:hAnsi="仿宋"/>
                <w:b w:val="0"/>
                <w:color w:val="000000"/>
                <w:sz w:val="24"/>
              </w:rPr>
              <w:t>8.1 监理会议制度</w:t>
            </w:r>
          </w:p>
        </w:tc>
        <w:tc>
          <w:tcPr>
            <w:tcW w:type="dxa" w:w="4323"/>
          </w:tcPr>
          <w:p>
            <w:pPr>
              <w:jc w:val="right"/>
            </w:pPr>
            <w:r>
              <w:rPr>
                <w:rFonts w:ascii="Times New Roman" w:hAnsi="Times New Roman"/>
                <w:b w:val="0"/>
                <w:color w:val="000000"/>
                <w:sz w:val="24"/>
              </w:rPr>
              <w:t>—</w:t>
            </w:r>
          </w:p>
        </w:tc>
      </w:tr>
      <w:tr>
        <w:tc>
          <w:tcPr>
            <w:tcW w:type="dxa" w:w="4323"/>
          </w:tcPr>
          <w:p>
            <w:pPr>
              <w:spacing w:before="20" w:after="20"/>
            </w:pPr>
            <w:r>
              <w:rPr>
                <w:rFonts w:ascii="仿宋" w:hAnsi="仿宋"/>
                <w:b w:val="0"/>
                <w:color w:val="000000"/>
                <w:sz w:val="24"/>
              </w:rPr>
              <w:t>8.2 监理报告制度</w:t>
            </w:r>
          </w:p>
        </w:tc>
        <w:tc>
          <w:tcPr>
            <w:tcW w:type="dxa" w:w="4323"/>
          </w:tcPr>
          <w:p>
            <w:pPr>
              <w:jc w:val="right"/>
            </w:pPr>
            <w:r>
              <w:rPr>
                <w:rFonts w:ascii="Times New Roman" w:hAnsi="Times New Roman"/>
                <w:b w:val="0"/>
                <w:color w:val="000000"/>
                <w:sz w:val="24"/>
              </w:rPr>
              <w:t>—</w:t>
            </w:r>
          </w:p>
        </w:tc>
      </w:tr>
      <w:tr>
        <w:tc>
          <w:tcPr>
            <w:tcW w:type="dxa" w:w="4323"/>
          </w:tcPr>
          <w:p>
            <w:pPr>
              <w:spacing w:before="20" w:after="20"/>
            </w:pPr>
            <w:r>
              <w:rPr>
                <w:rFonts w:ascii="仿宋" w:hAnsi="仿宋"/>
                <w:b w:val="0"/>
                <w:color w:val="000000"/>
                <w:sz w:val="24"/>
              </w:rPr>
              <w:t>8.3 监理保密制度</w:t>
            </w:r>
          </w:p>
        </w:tc>
        <w:tc>
          <w:tcPr>
            <w:tcW w:type="dxa" w:w="4323"/>
          </w:tcPr>
          <w:p>
            <w:pPr>
              <w:jc w:val="right"/>
            </w:pPr>
            <w:r>
              <w:rPr>
                <w:rFonts w:ascii="Times New Roman" w:hAnsi="Times New Roman"/>
                <w:b w:val="0"/>
                <w:color w:val="000000"/>
                <w:sz w:val="24"/>
              </w:rPr>
              <w:t>—</w:t>
            </w:r>
          </w:p>
        </w:tc>
      </w:tr>
      <w:tr>
        <w:tc>
          <w:tcPr>
            <w:tcW w:type="dxa" w:w="4323"/>
          </w:tcPr>
          <w:p>
            <w:pPr>
              <w:spacing w:before="20" w:after="20"/>
            </w:pPr>
            <w:r>
              <w:rPr>
                <w:rFonts w:ascii="仿宋" w:hAnsi="仿宋"/>
                <w:b w:val="0"/>
                <w:color w:val="000000"/>
                <w:sz w:val="24"/>
              </w:rPr>
              <w:t>8.4 监理考核制度</w:t>
            </w:r>
          </w:p>
        </w:tc>
        <w:tc>
          <w:tcPr>
            <w:tcW w:type="dxa" w:w="4323"/>
          </w:tcPr>
          <w:p>
            <w:pPr>
              <w:jc w:val="right"/>
            </w:pPr>
            <w:r>
              <w:rPr>
                <w:rFonts w:ascii="Times New Roman" w:hAnsi="Times New Roman"/>
                <w:b w:val="0"/>
                <w:color w:val="000000"/>
                <w:sz w:val="24"/>
              </w:rPr>
              <w:t>—</w:t>
            </w:r>
          </w:p>
        </w:tc>
      </w:tr>
      <w:tr>
        <w:tc>
          <w:tcPr>
            <w:tcW w:type="dxa" w:w="4323"/>
          </w:tcPr>
          <w:p>
            <w:pPr>
              <w:spacing w:before="20" w:after="20"/>
            </w:pPr>
            <w:r>
              <w:rPr>
                <w:rFonts w:ascii="仿宋" w:hAnsi="仿宋"/>
                <w:b w:val="0"/>
                <w:color w:val="000000"/>
                <w:sz w:val="24"/>
              </w:rPr>
              <w:t>8.5 监理考勤制度</w:t>
            </w:r>
          </w:p>
        </w:tc>
        <w:tc>
          <w:tcPr>
            <w:tcW w:type="dxa" w:w="4323"/>
          </w:tcPr>
          <w:p>
            <w:pPr>
              <w:jc w:val="right"/>
            </w:pPr>
            <w:r>
              <w:rPr>
                <w:rFonts w:ascii="Times New Roman" w:hAnsi="Times New Roman"/>
                <w:b w:val="0"/>
                <w:color w:val="000000"/>
                <w:sz w:val="24"/>
              </w:rPr>
              <w:t>—</w:t>
            </w:r>
          </w:p>
        </w:tc>
      </w:tr>
      <w:tr>
        <w:tc>
          <w:tcPr>
            <w:tcW w:type="dxa" w:w="4323"/>
          </w:tcPr>
          <w:p>
            <w:pPr>
              <w:spacing w:before="20" w:after="20"/>
            </w:pPr>
            <w:r>
              <w:rPr>
                <w:rFonts w:ascii="仿宋" w:hAnsi="仿宋"/>
                <w:b w:val="0"/>
                <w:color w:val="000000"/>
                <w:sz w:val="24"/>
              </w:rPr>
              <w:t>8.6 廉洁执业制度</w:t>
            </w:r>
          </w:p>
        </w:tc>
        <w:tc>
          <w:tcPr>
            <w:tcW w:type="dxa" w:w="4323"/>
          </w:tcPr>
          <w:p>
            <w:pPr>
              <w:jc w:val="right"/>
            </w:pPr>
            <w:r>
              <w:rPr>
                <w:rFonts w:ascii="Times New Roman" w:hAnsi="Times New Roman"/>
                <w:b w:val="0"/>
                <w:color w:val="000000"/>
                <w:sz w:val="24"/>
              </w:rPr>
              <w:t>—</w:t>
            </w:r>
          </w:p>
        </w:tc>
      </w:tr>
    </w:tbl>
    <w:p>
      <w:r>
        <w:br w:type="page"/>
      </w:r>
    </w:p>
    <w:p>
      <w:pPr>
        <w:spacing w:before="240" w:after="120"/>
        <w:jc w:val="left"/>
      </w:pPr>
      <w:r>
        <w:rPr>
          <w:rFonts w:ascii="黑体" w:hAnsi="黑体"/>
          <w:b/>
          <w:color w:val="000000"/>
          <w:sz w:val="28"/>
        </w:rPr>
        <w:t>第一章 项目概况</w:t>
      </w:r>
    </w:p>
    <w:p>
      <w:pPr>
        <w:spacing w:before="160" w:after="80"/>
        <w:jc w:val="left"/>
      </w:pPr>
      <w:r>
        <w:rPr>
          <w:rFonts w:ascii="黑体" w:hAnsi="黑体"/>
          <w:b/>
          <w:color w:val="000000"/>
          <w:sz w:val="24"/>
        </w:rPr>
        <w:t>1.1 项目名称：</w:t>
      </w:r>
    </w:p>
    <w:p>
      <w:pPr>
        <w:spacing w:before="160" w:after="80"/>
        <w:jc w:val="left"/>
      </w:pPr>
      <w:r>
        <w:rPr>
          <w:rFonts w:ascii="黑体" w:hAnsi="黑体"/>
          <w:b/>
          <w:color w:val="000000"/>
          <w:sz w:val="24"/>
        </w:rPr>
        <w:t>1.2 建设单位：</w:t>
      </w:r>
    </w:p>
    <w:p>
      <w:pPr>
        <w:spacing w:before="160" w:after="80"/>
        <w:jc w:val="left"/>
      </w:pPr>
      <w:r>
        <w:rPr>
          <w:rFonts w:ascii="黑体" w:hAnsi="黑体"/>
          <w:b/>
          <w:color w:val="000000"/>
          <w:sz w:val="24"/>
        </w:rPr>
        <w:t>1.3 承建单位：</w:t>
      </w:r>
    </w:p>
    <w:p>
      <w:pPr>
        <w:spacing w:before="160" w:after="80"/>
        <w:jc w:val="left"/>
      </w:pPr>
      <w:r>
        <w:rPr>
          <w:rFonts w:ascii="黑体" w:hAnsi="黑体"/>
          <w:b/>
          <w:color w:val="000000"/>
          <w:sz w:val="24"/>
        </w:rPr>
        <w:t>1.4 监理单位：公诚管理咨询有限公司</w:t>
      </w:r>
    </w:p>
    <w:p>
      <w:pPr>
        <w:spacing w:before="160" w:after="80"/>
        <w:jc w:val="left"/>
      </w:pPr>
      <w:r>
        <w:rPr>
          <w:rFonts w:ascii="黑体" w:hAnsi="黑体"/>
          <w:b/>
          <w:color w:val="000000"/>
          <w:sz w:val="24"/>
        </w:rPr>
        <w:t>1.5 项目总投资：3800万元</w:t>
      </w:r>
    </w:p>
    <w:p>
      <w:pPr>
        <w:ind w:firstLine="420"/>
        <w:jc w:val="left"/>
      </w:pPr>
      <w:r>
        <w:rPr>
          <w:rFonts w:ascii="仿宋" w:hAnsi="仿宋"/>
          <w:b w:val="0"/>
          <w:color w:val="000000"/>
          <w:sz w:val="24"/>
        </w:rPr>
        <w:t>1.6 计划工期：2026-01-20至2026-06-30，共计162日历天</w:t>
      </w:r>
    </w:p>
    <w:p>
      <w:pPr>
        <w:spacing w:before="160" w:after="80"/>
        <w:jc w:val="left"/>
      </w:pPr>
      <w:r>
        <w:rPr>
          <w:rFonts w:ascii="黑体" w:hAnsi="黑体"/>
          <w:b/>
          <w:color w:val="000000"/>
          <w:sz w:val="24"/>
        </w:rPr>
        <w:t>1.7 工程规模与内容：</w:t>
      </w:r>
    </w:p>
    <w:p>
      <w:pPr>
        <w:spacing w:before="160" w:after="80"/>
        <w:jc w:val="left"/>
      </w:pPr>
      <w:r>
        <w:rPr>
          <w:rFonts w:ascii="黑体" w:hAnsi="黑体"/>
          <w:b/>
          <w:color w:val="000000"/>
          <w:sz w:val="24"/>
        </w:rPr>
        <w:t>1.8 项目特点：</w:t>
      </w:r>
    </w:p>
    <w:p>
      <w:pPr>
        <w:ind w:firstLine="420"/>
        <w:jc w:val="left"/>
      </w:pPr>
      <w:r>
        <w:rPr>
          <w:rFonts w:ascii="仿宋" w:hAnsi="仿宋"/>
          <w:b w:val="0"/>
          <w:color w:val="000000"/>
          <w:sz w:val="24"/>
        </w:rPr>
        <w:t>1. 系统复杂度高：本项目涵盖网络、服务器、安全、应用、机房、智能化等七大子系统，各系统间存在异构互联需求，接口兼容性和数据交互复杂度高，对系统集成能力要求严格。</w:t>
        <w:br/>
        <w:t>2. 技术难度大：本项目需满足网络安全等级保护三级（等保2.0三级）要求，安全防护深度和广度较常规项目显著提升，同时需实现多厂商设备利旧整合，对国产化和兼容性提出挑战。</w:t>
        <w:br/>
        <w:t>3. 工期压力紧：项目总工期仅162日历天，实施期间需在5栋建筑同时开展交叉施工，关键节点（设备到货、软硬件联调、初验）时间高度集中，工期管理难度大。</w:t>
        <w:br/>
        <w:t>4. 质量要求高：作为公共安全行业信息化项目，系统运行稳定性、安全性要求极高，竣工验收须满足设计及规范要求，重要子系统一次验收通过率不低于95%。</w:t>
        <w:br/>
        <w:t>5. 安全要求严：项目涉及公安敏感数据和情报分析系统，信息安全保密要求贯穿设计、开发、部署、运维全生命周期，须严格落实安全保密管理制度和等级保护技术要求。</w:t>
      </w:r>
    </w:p>
    <w:p>
      <w:pPr>
        <w:spacing w:before="240" w:after="120"/>
        <w:jc w:val="left"/>
      </w:pPr>
      <w:r>
        <w:rPr>
          <w:rFonts w:ascii="黑体" w:hAnsi="黑体"/>
          <w:b/>
          <w:color w:val="000000"/>
          <w:sz w:val="28"/>
        </w:rPr>
        <w:t>第二章 监理工作依据</w:t>
      </w:r>
    </w:p>
    <w:p>
      <w:pPr>
        <w:spacing w:before="160" w:after="80"/>
        <w:jc w:val="left"/>
      </w:pPr>
      <w:r>
        <w:rPr>
          <w:rFonts w:ascii="黑体" w:hAnsi="黑体"/>
          <w:b/>
          <w:color w:val="000000"/>
          <w:sz w:val="24"/>
        </w:rPr>
        <w:t>2.1 信息化工程监理有关法规：</w:t>
      </w:r>
    </w:p>
    <w:p>
      <w:pPr>
        <w:ind w:firstLine="420"/>
        <w:jc w:val="left"/>
      </w:pPr>
      <w:r>
        <w:rPr>
          <w:rFonts w:ascii="仿宋" w:hAnsi="仿宋"/>
          <w:b w:val="0"/>
          <w:color w:val="000000"/>
          <w:sz w:val="24"/>
        </w:rPr>
        <w:t>《信息系统工程监理暂行规定》（信部信〔2002〕570号）</w:t>
        <w:br/>
        <w:t>《中华人民共和国合同法》（中华人民共和国主席令第15号）</w:t>
        <w:br/>
        <w:t>《中华人民共和国招标投标法》（中华人民共和国主席令第21号）</w:t>
        <w:br/>
        <w:t>《中华人民共和国政府采购法》（中华人民共和国主席令第68号）</w:t>
        <w:br/>
        <w:t>《中华人民共和国著作权法》（2020年修正）</w:t>
        <w:br/>
        <w:t>《计算机软件保护条例》（国务院令第632号）</w:t>
        <w:br/>
        <w:t>《中华人民共和国计算机信息系统安全保护条例》（国务院令第147号）</w:t>
        <w:br/>
        <w:t>《信息安全等级保护管理办法》（公通字〔2007〕43号）</w:t>
      </w:r>
    </w:p>
    <w:p>
      <w:pPr>
        <w:spacing w:before="160" w:after="80"/>
        <w:jc w:val="left"/>
      </w:pPr>
      <w:r>
        <w:rPr>
          <w:rFonts w:ascii="黑体" w:hAnsi="黑体"/>
          <w:b/>
          <w:color w:val="000000"/>
          <w:sz w:val="24"/>
        </w:rPr>
        <w:t>2.2 与本项目有关的工程技术文件、合同及标准：</w:t>
      </w:r>
    </w:p>
    <w:p>
      <w:pPr>
        <w:ind w:firstLine="420"/>
        <w:jc w:val="left"/>
      </w:pPr>
      <w:r>
        <w:rPr>
          <w:rFonts w:ascii="仿宋" w:hAnsi="仿宋"/>
          <w:b w:val="0"/>
          <w:color w:val="000000"/>
          <w:sz w:val="24"/>
        </w:rPr>
        <w:t>1. 业主单位与监理单位签订的《委托监理合同》</w:t>
        <w:br/>
        <w:t>2. 业主单位与承建单位签订的《工程建设合同》</w:t>
        <w:br/>
        <w:t>3. 本项目《招标文件》及《中标通知书》</w:t>
        <w:br/>
        <w:t>4. 承建单位《投标文件》及《技术方案》</w:t>
        <w:br/>
        <w:t>5. 项目《技术规格书》及《需求说明书》</w:t>
        <w:br/>
        <w:t>6. 经审批的《施工组织设计》及《实施方案》</w:t>
      </w:r>
    </w:p>
    <w:p>
      <w:pPr>
        <w:spacing w:before="160" w:after="80"/>
        <w:jc w:val="left"/>
      </w:pPr>
      <w:r>
        <w:rPr>
          <w:rFonts w:ascii="黑体" w:hAnsi="黑体"/>
          <w:b/>
          <w:color w:val="000000"/>
          <w:sz w:val="24"/>
        </w:rPr>
        <w:t>2.3 信息系统有关技术标准、规范：</w:t>
      </w:r>
    </w:p>
    <w:p>
      <w:pPr>
        <w:ind w:firstLine="420"/>
        <w:jc w:val="left"/>
      </w:pPr>
      <w:r>
        <w:rPr>
          <w:rFonts w:ascii="仿宋" w:hAnsi="仿宋"/>
          <w:b w:val="0"/>
          <w:color w:val="000000"/>
          <w:sz w:val="24"/>
        </w:rPr>
        <w:t>GB/T 19668.1-2005《信息化工程监理规范 第1部分：总则》</w:t>
        <w:br/>
        <w:t>GB/T 19668.5-2007《信息化工程监理规范 第5部分：软件工程监理规范》</w:t>
        <w:br/>
        <w:t>GB/T 19668.6-2006《信息化工程监理规范 第6部分：信息化工程安全监理规范》</w:t>
        <w:br/>
        <w:t>GB 17859-1999《计算机信息系统安全保护等级划分准则》</w:t>
        <w:br/>
        <w:t>GB/T 22239-2019《网络安全等级保护基本要求》</w:t>
        <w:br/>
        <w:t>GB/T 25070-2019《网络安全等级保护安全设计技术要求》</w:t>
        <w:br/>
        <w:t>GB/T 18336.1-2015《信息技术 安全技术 信息技术安全评估标准》</w:t>
        <w:br/>
        <w:t>GB 50174-2017《数据中心设计规范》</w:t>
        <w:br/>
        <w:t>GB/T 28821-2012《电子信息系统机房建设规范》</w:t>
      </w:r>
    </w:p>
    <w:p>
      <w:pPr>
        <w:spacing w:before="160" w:after="80"/>
        <w:jc w:val="left"/>
      </w:pPr>
      <w:r>
        <w:rPr>
          <w:rFonts w:ascii="黑体" w:hAnsi="黑体"/>
          <w:b/>
          <w:color w:val="000000"/>
          <w:sz w:val="24"/>
        </w:rPr>
        <w:t>2.4 其他依据：</w:t>
      </w:r>
    </w:p>
    <w:p>
      <w:pPr>
        <w:spacing w:before="240" w:after="120"/>
        <w:jc w:val="left"/>
      </w:pPr>
      <w:r>
        <w:rPr>
          <w:rFonts w:ascii="黑体" w:hAnsi="黑体"/>
          <w:b/>
          <w:color w:val="000000"/>
          <w:sz w:val="28"/>
        </w:rPr>
        <w:t>第三章 监理范围与目标</w:t>
      </w:r>
    </w:p>
    <w:p>
      <w:pPr>
        <w:spacing w:before="160" w:after="80"/>
        <w:jc w:val="left"/>
      </w:pPr>
      <w:r>
        <w:rPr>
          <w:rFonts w:ascii="黑体" w:hAnsi="黑体"/>
          <w:b/>
          <w:color w:val="000000"/>
          <w:sz w:val="24"/>
        </w:rPr>
        <w:t>3.1 监理范围：</w:t>
      </w:r>
    </w:p>
    <w:p>
      <w:pPr>
        <w:ind w:firstLine="420"/>
        <w:jc w:val="left"/>
      </w:pPr>
      <w:r>
        <w:rPr>
          <w:rFonts w:ascii="仿宋" w:hAnsi="仿宋"/>
          <w:b w:val="0"/>
          <w:color w:val="000000"/>
          <w:sz w:val="24"/>
        </w:rPr>
        <w:t>监理范围包括：</w:t>
        <w:br/>
        <w:t>一、工程施工阶段的质量控制、进度控制、投资控制、合同管理和组织协调工作；</w:t>
        <w:br/>
        <w:t>二、网络系统（核心/汇聚/接入交换机约240台）、服务器系统（约18台）、安全系统（防火墙/IDS/IPS/VPN/准入控制）、应用系统（综合管理平台、视频监控联网、情报分析系统）设计审核、施工监理、系统调试验收等全过程监理；</w:t>
        <w:br/>
        <w:t>三、机房建设（精密空调、UPS、模块化机柜）设备到货验收、安装督导、系统试运行等关键节点监理；</w:t>
        <w:br/>
        <w:t>四、室外监控（立杆监控、球机、枪机）、智能化配套（会议系统、广播系统、门禁系统、停车场系统）安装调试及联调验收监理；</w:t>
        <w:br/>
        <w:t>五、项目文档的审核与管理，包括设计文件、测试报告、竣工资料；</w:t>
        <w:br/>
        <w:t>六、安全文明施工的监督检查，涵盖施工用电安全、高空作业安全、设备吊装安全。</w:t>
        <w:br/>
        <w:t>监理工作不包括：与本项目无关的业主单位内部管理活动。</w:t>
      </w:r>
    </w:p>
    <w:p>
      <w:pPr>
        <w:spacing w:before="160" w:after="80"/>
        <w:jc w:val="left"/>
      </w:pPr>
      <w:r>
        <w:rPr>
          <w:rFonts w:ascii="黑体" w:hAnsi="黑体"/>
          <w:b/>
          <w:color w:val="000000"/>
          <w:sz w:val="24"/>
        </w:rPr>
        <w:t>3.2 监理目标：</w:t>
      </w:r>
    </w:p>
    <w:p>
      <w:pPr>
        <w:ind w:firstLine="420"/>
        <w:jc w:val="left"/>
      </w:pPr>
      <w:r>
        <w:rPr>
          <w:rFonts w:ascii="仿宋" w:hAnsi="仿宋"/>
          <w:b w:val="0"/>
          <w:color w:val="000000"/>
          <w:sz w:val="24"/>
        </w:rPr>
        <w:t>3.2.1 质量目标：质量目标：</w:t>
        <w:br/>
        <w:t>1. 单位工程验收合格率：100%</w:t>
        <w:br/>
        <w:t>2. 分部工程验收合格率：100%</w:t>
        <w:br/>
        <w:t>3. 重要分部/子分部工程一次验收通过率：≥95%</w:t>
        <w:br/>
        <w:t>4. 质量事故：0重大事故，一般事故处置率100%</w:t>
        <w:br/>
        <w:t>5. 竣工验收：符合设计及规范要求，一次通过</w:t>
        <w:br/>
        <w:t>6. 文档完整性：竣工资料归档合格率100%</w:t>
      </w:r>
    </w:p>
    <w:p>
      <w:pPr>
        <w:ind w:firstLine="420"/>
        <w:jc w:val="left"/>
      </w:pPr>
      <w:r>
        <w:rPr>
          <w:rFonts w:ascii="仿宋" w:hAnsi="仿宋"/>
          <w:b w:val="0"/>
          <w:color w:val="000000"/>
          <w:sz w:val="24"/>
        </w:rPr>
        <w:t>3.2.2 进度目标：进度目标：</w:t>
        <w:br/>
        <w:t>1. 严格按照合同工期执行，项目按期完工率100%</w:t>
        <w:br/>
        <w:t>2. 关键节点（开工、到货验收、调试、初步验收、竣工验收）按计划完成</w:t>
        <w:br/>
        <w:t>3. 因非承建方原因导致的工期延误，监理审核延期天数不超过实际影响天数</w:t>
      </w:r>
    </w:p>
    <w:p>
      <w:pPr>
        <w:ind w:firstLine="420"/>
        <w:jc w:val="left"/>
      </w:pPr>
      <w:r>
        <w:rPr>
          <w:rFonts w:ascii="仿宋" w:hAnsi="仿宋"/>
          <w:b w:val="0"/>
          <w:color w:val="000000"/>
          <w:sz w:val="24"/>
        </w:rPr>
        <w:t>3.2.3 投资目标：投资目标：</w:t>
        <w:br/>
        <w:t>1. 工程变更引起的投资增加不超过合同价的5%</w:t>
        <w:br/>
        <w:t>2. 进度款支付审核准确率100%</w:t>
        <w:br/>
        <w:t>3. 工程结算审减率控制在合理范围内（不超过5%）</w:t>
        <w:br/>
        <w:t>4. 投资控制在批复概算范围内</w:t>
      </w:r>
    </w:p>
    <w:p>
      <w:pPr>
        <w:ind w:firstLine="420"/>
        <w:jc w:val="left"/>
      </w:pPr>
      <w:r>
        <w:rPr>
          <w:rFonts w:ascii="仿宋" w:hAnsi="仿宋"/>
          <w:b w:val="0"/>
          <w:color w:val="000000"/>
          <w:sz w:val="24"/>
        </w:rPr>
        <w:t>3.2.4 安全目标：安全目标：</w:t>
        <w:br/>
        <w:t>1. 重大安全事故：0起</w:t>
        <w:br/>
        <w:t>2. 一般安全事故处置率：100%</w:t>
        <w:br/>
        <w:t>3. 安全隐患整改率：100%</w:t>
        <w:br/>
        <w:t>4. 安全培训覆盖率：100%</w:t>
        <w:br/>
        <w:t>5. 安全文明施工达标率：100%</w:t>
      </w:r>
    </w:p>
    <w:p>
      <w:pPr>
        <w:ind w:firstLine="420"/>
        <w:jc w:val="left"/>
      </w:pPr>
      <w:r>
        <w:rPr>
          <w:rFonts w:ascii="仿宋" w:hAnsi="仿宋"/>
          <w:b w:val="0"/>
          <w:color w:val="000000"/>
          <w:sz w:val="24"/>
        </w:rPr>
        <w:t>3.2.5 合同目标：合同目标：</w:t>
        <w:br/>
        <w:t>1. 合同履约率：100%</w:t>
        <w:br/>
        <w:t>2. 工程变更手续完备率：100%</w:t>
        <w:br/>
        <w:t>3. 索赔/争议处理时效：接报后7个工作日内提出监理意见</w:t>
      </w:r>
    </w:p>
    <w:p>
      <w:pPr>
        <w:spacing w:before="240" w:after="120"/>
        <w:jc w:val="left"/>
      </w:pPr>
      <w:r>
        <w:rPr>
          <w:rFonts w:ascii="黑体" w:hAnsi="黑体"/>
          <w:b/>
          <w:color w:val="000000"/>
          <w:sz w:val="28"/>
        </w:rPr>
        <w:t>第四章 项目监理组织机构与人员配备</w:t>
      </w:r>
    </w:p>
    <w:p>
      <w:pPr>
        <w:spacing w:before="160" w:after="80"/>
        <w:jc w:val="left"/>
      </w:pPr>
      <w:r>
        <w:rPr>
          <w:rFonts w:ascii="黑体" w:hAnsi="黑体"/>
          <w:b/>
          <w:color w:val="000000"/>
          <w:sz w:val="24"/>
        </w:rPr>
        <w:t>4.1 项目监理组织架构：</w:t>
      </w:r>
    </w:p>
    <w:p>
      <w:pPr>
        <w:ind w:firstLine="420"/>
        <w:jc w:val="left"/>
      </w:pPr>
      <w:r>
        <w:rPr>
          <w:rFonts w:ascii="仿宋" w:hAnsi="仿宋"/>
          <w:b w:val="0"/>
          <w:color w:val="000000"/>
          <w:sz w:val="24"/>
        </w:rPr>
        <w:t>项目监理组织机构采用直线制组织形式，设置如下：</w:t>
        <w:br/>
        <w:t>总监理工程师（1名）→ 副总监理工程师/总监代表（1名）→ 专业监理工程师（4名）：信息网络安全监理、机房环境监理、软件工程监理、智能化系统监理→ 监理员（2名）：现场监理员、资料员</w:t>
        <w:br/>
        <w:br/>
        <w:t>总监办设置4个专业监理组，分别负责：</w:t>
        <w:br/>
        <w:t>（1）网络系统监理组：负责网络设备、网络安全系统安装调试监理</w:t>
        <w:br/>
        <w:t>（2）服务器存储监理组：负责服务器、存储设备到货及安装监理</w:t>
        <w:br/>
        <w:t>（3）软件工程监理组：负责应用软件开发、测试、集成监理</w:t>
        <w:br/>
        <w:t>（4）机房环境监理组：负责精密空调、UPS、综合布线、智能化系统监理</w:t>
      </w:r>
    </w:p>
    <w:p>
      <w:pPr>
        <w:spacing w:before="160" w:after="80"/>
        <w:jc w:val="left"/>
      </w:pPr>
      <w:r>
        <w:rPr>
          <w:rFonts w:ascii="黑体" w:hAnsi="黑体"/>
          <w:b/>
          <w:color w:val="000000"/>
          <w:sz w:val="24"/>
        </w:rPr>
        <w:t>4.2 监理人员配备：</w:t>
      </w:r>
    </w:p>
    <w:p>
      <w:pPr>
        <w:ind w:firstLine="420"/>
        <w:jc w:val="left"/>
      </w:pPr>
      <w:r>
        <w:rPr>
          <w:rFonts w:ascii="仿宋" w:hAnsi="仿宋"/>
          <w:b w:val="0"/>
          <w:color w:val="000000"/>
          <w:sz w:val="24"/>
        </w:rPr>
        <w:t>施工准备阶段：总监1名、监理工程师2名</w:t>
        <w:br/>
        <w:t>施工阶段：总监1名、总监代表1名、专业监理工程师4名、监理员2名</w:t>
        <w:br/>
        <w:t>验收阶段：根据验收节点适当增加人员配置</w:t>
        <w:br/>
        <w:br/>
        <w:t>人员资质：总监理工程师须具备注册监理工程师（信息系统）执业资格，从事信息化工程监理5年以上；专业监理工程师须具备信息系统监理工程师培训证书，从事本专业监理3年以上；监理员须具备助理工程师及以上职称，经监理业务培训合格。</w:t>
      </w:r>
    </w:p>
    <w:p>
      <w:pPr>
        <w:spacing w:before="160" w:after="80"/>
        <w:jc w:val="left"/>
      </w:pPr>
      <w:r>
        <w:rPr>
          <w:rFonts w:ascii="黑体" w:hAnsi="黑体"/>
          <w:b/>
          <w:color w:val="000000"/>
          <w:sz w:val="24"/>
        </w:rPr>
        <w:t>4.3 总监理工程师职责：</w:t>
      </w:r>
    </w:p>
    <w:p>
      <w:pPr>
        <w:ind w:firstLine="420"/>
        <w:jc w:val="left"/>
      </w:pPr>
      <w:r>
        <w:rPr>
          <w:rFonts w:ascii="仿宋" w:hAnsi="仿宋"/>
          <w:b w:val="0"/>
          <w:color w:val="000000"/>
          <w:sz w:val="24"/>
        </w:rPr>
        <w:t>总监理工程师职责：</w:t>
        <w:br/>
        <w:t>1. 主持编制监理规划，审批监理实施细则</w:t>
        <w:br/>
        <w:t>2. 主持监理工作会议，签发监理文件</w:t>
        <w:br/>
        <w:t>3. 审核承建单位提交的施工组织设计、技术方案、进度计划</w:t>
        <w:br/>
        <w:t>4. 签署工程款支付证书、开工/停工/复工令</w:t>
        <w:br/>
        <w:t>5. 审核工程变更，处理工期索赔和费用索赔</w:t>
        <w:br/>
        <w:t>6. 组织工程竣工验收，签署验收意见</w:t>
        <w:br/>
        <w:t>7. 主持整理监理资料归档</w:t>
      </w:r>
    </w:p>
    <w:p>
      <w:pPr>
        <w:spacing w:before="160" w:after="80"/>
        <w:jc w:val="left"/>
      </w:pPr>
      <w:r>
        <w:rPr>
          <w:rFonts w:ascii="黑体" w:hAnsi="黑体"/>
          <w:b/>
          <w:color w:val="000000"/>
          <w:sz w:val="24"/>
        </w:rPr>
        <w:t>4.4 各专业监理工程师职责：</w:t>
      </w:r>
    </w:p>
    <w:p>
      <w:pPr>
        <w:ind w:firstLine="420"/>
        <w:jc w:val="left"/>
      </w:pPr>
      <w:r>
        <w:rPr>
          <w:rFonts w:ascii="仿宋" w:hAnsi="仿宋"/>
          <w:b w:val="0"/>
          <w:color w:val="000000"/>
          <w:sz w:val="24"/>
        </w:rPr>
        <w:t>专业监理工程师职责：</w:t>
        <w:br/>
        <w:t>1. 负责本专业监理工作的具体实施，编制监理细则</w:t>
        <w:br/>
        <w:t>2. 审查承建单位提交的涉及本专业的计划、方案、申请、变更</w:t>
        <w:br/>
        <w:t>3. 检查承建单位进场人员、设备、材料的质量证明文件</w:t>
        <w:br/>
        <w:t>4. 对关键工序和隐蔽工程进行旁站监理，做好监理日志</w:t>
        <w:br/>
        <w:t>5. 复核或抽检本专业工程计量数据，审核工程款支付申请</w:t>
        <w:br/>
        <w:t>6. 负责本专业工程初验，参与竣工验收</w:t>
        <w:br/>
        <w:t>7. 编写监理报告中的本专业内容</w:t>
      </w:r>
    </w:p>
    <w:p>
      <w:pPr>
        <w:spacing w:before="160" w:after="80"/>
        <w:jc w:val="left"/>
      </w:pPr>
      <w:r>
        <w:rPr>
          <w:rFonts w:ascii="黑体" w:hAnsi="黑体"/>
          <w:b/>
          <w:color w:val="000000"/>
          <w:sz w:val="24"/>
        </w:rPr>
        <w:t>4.5 人员资质要求：</w:t>
      </w:r>
    </w:p>
    <w:p>
      <w:pPr>
        <w:ind w:firstLine="420"/>
        <w:jc w:val="left"/>
      </w:pPr>
      <w:r>
        <w:rPr>
          <w:rFonts w:ascii="仿宋" w:hAnsi="仿宋"/>
          <w:b w:val="0"/>
          <w:color w:val="000000"/>
          <w:sz w:val="24"/>
        </w:rPr>
        <w:t>人员资质要求：</w:t>
        <w:br/>
        <w:t>1. 总监理工程师：具备信息系统监理工程师执业资格，从事信息化工程监理5年以上</w:t>
        <w:br/>
        <w:t>2. 专业监理工程师：具备信息系统监理工程师培训证书，从事本专业监理3年以上</w:t>
        <w:br/>
        <w:t>3. 监理员：具备助理工程师及以上职称，经监理业务培训合格</w:t>
        <w:br/>
        <w:t>4. 信息安全监理：具备网络安全等级保护测评师资质</w:t>
        <w:br/>
        <w:t>5. 软件工程监理：具备软件评测师或系统集成项目管理工程师资质</w:t>
      </w:r>
    </w:p>
    <w:p>
      <w:pPr>
        <w:spacing w:before="240" w:after="120"/>
        <w:jc w:val="left"/>
      </w:pPr>
      <w:r>
        <w:rPr>
          <w:rFonts w:ascii="黑体" w:hAnsi="黑体"/>
          <w:b/>
          <w:color w:val="000000"/>
          <w:sz w:val="28"/>
        </w:rPr>
        <w:t>第五章 项目管控措施</w:t>
      </w:r>
    </w:p>
    <w:p>
      <w:pPr>
        <w:spacing w:before="160" w:after="80"/>
        <w:jc w:val="left"/>
      </w:pPr>
      <w:r>
        <w:rPr>
          <w:rFonts w:ascii="黑体" w:hAnsi="黑体"/>
          <w:b/>
          <w:color w:val="000000"/>
          <w:sz w:val="24"/>
        </w:rPr>
        <w:t>5.1 质量控制：</w:t>
      </w:r>
    </w:p>
    <w:p>
      <w:pPr>
        <w:ind w:firstLine="420"/>
        <w:jc w:val="left"/>
      </w:pPr>
      <w:r>
        <w:rPr>
          <w:rFonts w:ascii="仿宋" w:hAnsi="仿宋"/>
          <w:b w:val="0"/>
          <w:color w:val="000000"/>
          <w:sz w:val="24"/>
        </w:rPr>
        <w:t>质量控制措施按「事前预防→事中控制→事后纠正」三阶段实施，结合信息化项目特点全面把控工程质量。</w:t>
        <w:br/>
        <w:br/>
        <w:t>一、事前预防阶段</w:t>
        <w:br/>
        <w:t>1. 资质审查与体系审核：审查承建单位企业资质、项目管理体系（CMMI/ISO9000）、质量保证体系（QA），核查项目经理和技术负责人的类似项目业绩，确保承建单位具备本项目实施能力。依据《信息系统工程监理暂行规定》第十条对承建单位资格进行审查。</w:t>
        <w:br/>
        <w:t>2. 施工组织设计审核：重点审核施工组织设计/实施方案的技术措施、质量保证措施、资源配置计划，特别关注网络系统、服务器系统、软件系统等关键分部分项工程技术方案的完整性和可行性，审核意见须经三方确认。</w:t>
        <w:br/>
        <w:t>3. 设备材料进场审核：严格审核主要设备（交换机、服务器、防火墙、应用服务器等）的进场报验，核查产品合格证、出厂检测报告、性能参数测试报告、3C认证（强制认证设备），对不符合设计要求的设备材料一律不得进场使用。</w:t>
        <w:br/>
        <w:t>4. 软件开发计划审核：审查应用系统（综合管理平台、视频监控联网、情报分析系统）的需求规格说明书、设计文档、开发计划，确认软件功能模块划分、接口定义、数据字典等关键技术内容符合建设单位业务需求。</w:t>
        <w:br/>
        <w:t>5. 质量旁站计划编制：对网络骨干设备安装调试、软件系统部署、服务器上架等关键工序编制质量旁站计划，明确旁站节点、旁站内容、监理人员安排，确保关键工序全程受控。</w:t>
        <w:br/>
        <w:t>6. 信息化专项质量标准梳理：监理开工前梳理本项目涉及的信息化工程质量验收标准，包括GB/T 19668.5-2007《信息化工程监理规范 第5部分：软件工程监理规范》软件质量要求、GB 50174-2017《数据中心设计规范》机房环境标准、GB/T 22239-2019等级保护三级技术要求，形成本项目质量控制专项检查表。</w:t>
        <w:br/>
        <w:br/>
        <w:t>二，事中控制阶段</w:t>
        <w:br/>
        <w:t>1. 关键节点旁站监理：对网络链路测试、设备开箱验货、服务器加电测试、软件系统部署与配置等关键节点实施旁站监理，全程记录设备状态参数配置，确保施工过程符合设计及规范要求。依据《信息系统工程监理暂行规定》第十七条对关键工序实施旁站监理。</w:t>
        <w:br/>
        <w:t>2. 隐蔽工程验收：对综合布线、线缆敷设、管道预埋、设备安装接地等隐蔽工程，在封闭前进行专项检查验收，核查施工工艺、材料规格、安装质量，验收合格方可进入下一道工序。隐蔽工程验收记录须三方签认。</w:t>
        <w:br/>
        <w:t>3. 软件工程过程监理：监督代码规范审查（命名规范、注释规范、版本管理）、单元测试、集成测试、系统测试全过程，对第三方组件开源许可证合规性进行审查，依据GB/T 19668.5-2007《信息化工程监理规范 第5部分：软件工程监理规范》实施过程质量控制。</w:t>
        <w:br/>
        <w:t>4. 安全功能测试：督促承建单位完成网络安全等级保护测评（三级），审核漏洞扫描报告、入侵检测日志、安全配置核查记录，对安全加固措施落实情况进行复核。依据GB/T 22239-2019《网络安全等级保护基本要求》第5.3条开展安全技术检测。</w:t>
        <w:br/>
        <w:t>5. 定期质量巡检：每周组织质量巡检，对照设计图纸核查实际施工与设计方案的符合性，检查设备安装工艺、线缆连接标识、软件版本配置，发现问题及时签发监理通知单。巡检发现的质量问题建立整改台账，逐项跟踪闭环。</w:t>
        <w:br/>
        <w:t>6. 设备材料到货质量抽检：对到货设备按10%比例随机抽样进行功能抽检测试，重点抽检服务器（加电测试RAID配置）、交换机（端口测试）、防火墙（策略配置测试），抽检不合格则整批退货处理。</w:t>
        <w:br/>
        <w:br/>
        <w:t>三、事后纠正阶段</w:t>
        <w:br/>
        <w:t>1. 三阶段验收把关：严格执行到货验收→初验→终验三阶段把关，到货验收核查设备序列号及外观，初验核查系统功能完整性，终验核查全部性能指标和文档资料。验收程序依据GB/T 19668.1-2005第7.2条执行。</w:t>
        <w:br/>
        <w:t>2. 质量问题处理：对监理检查中发现的质量问题，按严重程度签发监理通知单（一般/严重），责令承建单位限期整改（一般问题7天内整改，严重问题24小时内整改），监理跟踪复查整改情况，形成质量问题处理闭环记录。</w:t>
        <w:br/>
        <w:t>3. 测试报告审核：审核第三方测试机构（具备CNAS资质）出具的软件功能测试报告、性能测试报告、安全测试报告，确认测试方法、测试用例、测试结论的真实性和有效性。依据GB/T 18336.1-2015《信息技术安全评估准则》核查安全测试方法。</w:t>
        <w:br/>
        <w:t>4. 竣工资料审查：对竣工资料的完整性、合规性进行审查，包括设计变更文件、测试报告、验收证书、设备说明书、操作手册，确保归档资料符合《科学技术档案案卷构成的一般要求》（GB/T 10622.1-2010）要求。</w:t>
        <w:br/>
        <w:t>5. 等保测评报告核查：核查等级保护三级测评报告的完整性（网络/主机/应用/数据安全各层测评结论），确认测评机构资质，测评结论为"优"或"良"方可进入终验环节，测评不合格项须全部整改闭环。</w:t>
      </w:r>
    </w:p>
    <w:p>
      <w:pPr>
        <w:spacing w:before="160" w:after="80"/>
        <w:jc w:val="left"/>
      </w:pPr>
      <w:r>
        <w:rPr>
          <w:rFonts w:ascii="黑体" w:hAnsi="黑体"/>
          <w:b/>
          <w:color w:val="000000"/>
          <w:sz w:val="24"/>
        </w:rPr>
        <w:t>5.2 进度控制：</w:t>
      </w:r>
    </w:p>
    <w:p>
      <w:pPr>
        <w:ind w:firstLine="420"/>
        <w:jc w:val="left"/>
      </w:pPr>
      <w:r>
        <w:rPr>
          <w:rFonts w:ascii="仿宋" w:hAnsi="仿宋"/>
          <w:b w:val="0"/>
          <w:color w:val="000000"/>
          <w:sz w:val="24"/>
        </w:rPr>
        <w:t>进度控制措施按「事前预防→事中控制→事后纠正」三阶段实施，重点关注信息化项目多系统并行施工特点，确保项目按期完工。</w:t>
        <w:br/>
        <w:br/>
        <w:t>一、事前预防阶段</w:t>
        <w:br/>
        <w:t>1. 总体进度计划审核：审核承建单位报送的总体进度计划（施工总进度计划、网络系统进度计划、服务器系统进度计划、软件系统开发进度计划），核查各子系统工序搭接关系和逻辑顺序，识别关键路径工序（网络骨干贯通→服务器部署→应用部署→系统联调）。</w:t>
        <w:br/>
        <w:t>2. 关键路径识别与管理：识别项目关键路径为「设备到货验收→网络骨干贯通→服务器存储部署→应用系统部署→系统联调→初验→终验」，对关键路径上的工序进行重点监控，确保关键路径不受影响，关键路径工期延误须立即预警并采取纠偏措施。</w:t>
        <w:br/>
        <w:t>3. 施工界面协调：组织业主单位、承建单位协调各子系统施工界面，明确网络系统、机房建设、智能化系统的施工界面交接节点和时间要求，减少交叉作业干扰，界面交接记录三方签认。</w:t>
        <w:br/>
        <w:t>4. 设备到货计划审核：审核设备材料到货计划，确认交换机、服务器、安全设备等主要设备的到货时间与施工进度计划匹配，预留充足的安装调试时间，设备到货延迟风险须提前预警。</w:t>
        <w:br/>
        <w:t>5. 软件开发里程碑计划审查：对应用系统开发进度进行里程碑计划审查，里程碑节点包括需求确认（里程碑1）、详细设计评审（里程碑2）、编码完成（里程碑3）、单元测试通过（里程碑4）、集成测试通过（里程碑5）、系统测试通过（里程碑6）、试运行（里程碑7），各里程碑须有明确的时间节点和交付物。</w:t>
        <w:br/>
        <w:t>6. 资源需求核查：审核承建单位人力投入计划（项目经理、架构师、开发人员、测试人员、实施工程师数量及到岗时间），核查仪表设备（网络测试仪、线缆认证测试仪、性能测试工具）配置情况，确保资源投入满足进度计划要求。</w:t>
        <w:br/>
        <w:br/>
        <w:t>二，事中控制阶段</w:t>
        <w:br/>
        <w:t>1. 进度跟踪与偏差分析：每周跟踪各子系统实际进度，对照计划检查偏差，监理月报中专项分析进度执行情况，对进度偏差超过3天的子系统及时预警并督促承建单位调整资源配置。进度偏差分析须量化（天数/百分比），并提出纠偏建议。</w:t>
        <w:br/>
        <w:t>2. 监理例会进度通报：每周监理例会通报各子系统进度情况，对进度滞后的子系统进行专项分析（分析原因：人员不足/设备延迟/技术问题/外部协调），形成会议纪要并跟踪整改措施落实。连续两周进度滞后同一子系统的，监理发出专题进度预警报告。</w:t>
        <w:br/>
        <w:t>3. 进度偏差处理：进度偏差超过5天时，签发监理通知单要求承建单位提交赶工措施计划，监理审核赶工措施计划的合理性和可行性（增加人员/加班/并行作业），审核通过后监督实施，并对赶工效果进行评估。</w:t>
        <w:br/>
        <w:t>4. 多系统并行施工协调：协调网络系统、服务器系统、软件系统、智能化系统的并行施工资源冲突，对共享资源（施工人员、测试仪表、调试设备）进行统筹调度，确保各系统有序推进，避免因资源争用导致窝工。</w:t>
        <w:br/>
        <w:t>5. 软件开发里程碑管控：对应用系统开发进度进行里程碑管控，里程碑节点须经监理确认后方可进入下一阶段，里程碑延误须提交延期申请及赶工措施，经监理审核后方可顺延计划。依据GB/T 19668.5-2007第6.3条对软件进度进行跟踪。</w:t>
        <w:br/>
        <w:t>6. 进度预警双轨机制：建立红色/橙色双轨进度预警机制，当某子系统进度滞后3天以上触发橙色预警（发监理通知单），滞后5天以上或关键路径受影响触发红色预警（提交业主专题报告并召开专题协调会）。</w:t>
        <w:br/>
        <w:br/>
        <w:t>三、事后纠正阶段</w:t>
        <w:br/>
        <w:t>1. 进度偏差分析与纠偏：对已发生的进度偏差进行深入分析，识别偏差根本原因（设计变更、设备到货延迟、人员不足、技术难题），评估对总工期的影响，制定纠偏措施并跟踪落实。纠偏效果在下周监理例会上汇报。</w:t>
        <w:br/>
        <w:t>2. 延期申请审核：收到承建单位工期延期申请后，监理审核延期理由的合理性和证明材料的充分性，核实非承建方原因导致的实际影响天数，出具监理审核意见。延期申请须在事件发生后14天内提交，逾期不予受理。</w:t>
        <w:br/>
        <w:t>3. 进度预警机制：建立进度预警机制，当项目实际进度落后于计划进度10%以上时，向建设单位提交专题进度预警报告，提出加快推进的具体建议（增加资源/优化工序/压缩非关键路径工期）。</w:t>
        <w:br/>
        <w:t>4. 赶工效果评估：对承建单位实施的赶工措施进行效果评估，对比赶工前后进度状态，评估投入产出合理性，形成赶工评估报告存档。赶工未达预期效果的，督促承建单位重新制定纠偏方案。</w:t>
      </w:r>
    </w:p>
    <w:p>
      <w:pPr>
        <w:spacing w:before="160" w:after="80"/>
        <w:jc w:val="left"/>
      </w:pPr>
      <w:r>
        <w:rPr>
          <w:rFonts w:ascii="黑体" w:hAnsi="黑体"/>
          <w:b/>
          <w:color w:val="000000"/>
          <w:sz w:val="24"/>
        </w:rPr>
        <w:t>5.3 投资控制：</w:t>
      </w:r>
    </w:p>
    <w:p>
      <w:pPr>
        <w:ind w:firstLine="420"/>
        <w:jc w:val="left"/>
      </w:pPr>
      <w:r>
        <w:rPr>
          <w:rFonts w:ascii="仿宋" w:hAnsi="仿宋"/>
          <w:b w:val="0"/>
          <w:color w:val="000000"/>
          <w:sz w:val="24"/>
        </w:rPr>
        <w:t>投资控制措施按「事前预防→事中控制→事后纠正」三阶段实施，重点关注信息化项目变更频发特点，确保项目投资可控。</w:t>
        <w:br/>
        <w:br/>
        <w:t>一、事前预防阶段</w:t>
        <w:br/>
        <w:t>1. 设计概算核查：核查初步设计概算与合同价的一致性，对比分析各子系统投资分配比例，识别投资风险点（软件授权费用、第三方测试费用、安全设备费用），审核结果作为投资控制基准。本项目投资风险点主要包括：Oracle、Microsoft等商业软件授权费（市场询价核实）、等级保护测评费（参照广西物价局标准）、第三方测试费（CNAS机构报价比较）。</w:t>
        <w:br/>
        <w:t>2. 招标文件投资条款审核：审核本项目招标文件中投资控制条款（合同价调整机制、变更审批流程、暂列金使用规定、物价波动调价公式），确保投资控制机制完善有效。对招标文件中的漏项、错项及时向业主提出修改建议。</w:t>
        <w:br/>
        <w:t>3. 项目投资台账建立：建立项目投资台账，按月统计实际支出（设备款、工程款、测试费、第三方费用），实时反映投资进度与合同价的偏差，为投资控制决策提供数据支撑。投资台账内容包括：合同价、累计申报金额、累计审批金额、累计支付金额、待支付金额。</w:t>
        <w:br/>
        <w:t>4. 合同工程量清单审核：对照施工图纸和合同工程量清单，对各子系统工程量进行详细审核，识别可能存在的不平衡报价（如综合布线、光纤熔接等单价偏高/偏低项目），制定针对性的核减/核增策略，为工程结算审减提供依据。</w:t>
        <w:br/>
        <w:t>5. 设备价格基准库建立：建立主要设备（交换机、服务器、存储设备、防火墙、UPS、精密空调）市场价格基准库，通过厂家询价、电商平台（京东/阿里巴巴）报价、近期中标价对比等方式，形成各类设备的含税到货价格基准，作为设备价格审核参照。</w:t>
        <w:br/>
        <w:br/>
        <w:t>二，事中控制阶段</w:t>
        <w:br/>
        <w:t>1. 工程进度款支付审核：严格按合同约定的付款节点（预付款30%/到货付款30%/安装付款20%/初验付款15%/终验付款5%）审核工程进度款支付申请，核查实际完成工程量与申报金额的一致性，防止超进度付款。进度款支付审核须附形象进度证明材料和监理复核意见。</w:t>
        <w:br/>
        <w:t>2. 工程变更投资控制：严格执行工程变更审批流程，变更申请须先评估投资影响（增加或减少的投资金额），经监理初审（2个工作日内）、三方评审（重大变更）、业主批准后方可实施变更，变更引起的投资增加须控制在合同价5%以内。未经审批的变更不得计入工程结算。</w:t>
        <w:br/>
        <w:t>3. 设备材料价格审核：对交换机、服务器、安全设备等主要设备材料的采购价格进行市场核查，审核报价合理性，对价格明显偏离市场价（超出基准价10%以上）的设备提出调整建议。设备采购须提供至少3家供应商报价作为参考依据。</w:t>
        <w:br/>
        <w:t>4. 工程量清单审核：对照施工图纸和合同工程量清单，审核实际完成的工程量，防止超量计价（线缆敷设、光纤熔接、综合布线端口数量）、重复计价（已含在综合单价中的辅材不得另计），对多计工程量进行核减并出具监理审核意见。</w:t>
        <w:br/>
        <w:t>5. 投资偏差分析：每月对项目投资执行情况进行分析，对比合同价、累计支出、待支付金额，评估是否存在超支风险，对投资偏差超过5%的情形向业主提交专题预警报告，提出投资控制改进建议。</w:t>
        <w:br/>
        <w:br/>
        <w:t>三、事后纠正阶段</w:t>
        <w:br/>
        <w:t>1. 设计变更造价审核：对设计变更引起的造价变化进行专项审核，核查变更内容与造价的对应关系，剔除不合理计价（虚报工程量、单价虚高、辅材重复计算），确保变更造价真实准确。变更造价审核须对照合同单价或市场单价。</w:t>
        <w:br/>
        <w:t>2. 软件授权费用核查：对Oracle、Microsoft等商业软件授权费用进行专项核查，审核授权数量（按合同约定的设备数量/用户数量）、授权类型（企业版/标准版/用户数授权）、续费周期的合理性，防止授权费用虚高。必要时应求证于厂家官方报价。</w:t>
        <w:br/>
        <w:t>3. 第三方测试费用控制：对等级保护测评费、第三方测试费等第三方费用进行价格核查和过程审核，确保费用支出合理合规。等级保护三级测评费用参照广西公安厅公布的标准（不超过15万元），审核测评机构资质（等保测评机构推荐目录），审核测试报告作为费用支付前置条件。</w:t>
        <w:br/>
        <w:t>4. 工程结算审减：参与项目工程结算审核，对工程结算资料进行全面复核，重点审核合同外新增项目、变更项目、综合单价调整项目，工程结算审减率控制在5%以内。结算审核依据《建设工程价款结算暂行办法》（财建〔2004〕369号）执行。</w:t>
        <w:br/>
        <w:t>5. 投资控制总结评价：项目竣工后对投资控制效果进行总结评价，对比合同价与实际结算价，分析节约/超支原因，形成投资控制评价报告，为业主单位后续项目提供投资控制经验参考。</w:t>
      </w:r>
    </w:p>
    <w:p>
      <w:pPr>
        <w:spacing w:before="160" w:after="80"/>
        <w:jc w:val="left"/>
      </w:pPr>
      <w:r>
        <w:rPr>
          <w:rFonts w:ascii="黑体" w:hAnsi="黑体"/>
          <w:b/>
          <w:color w:val="000000"/>
          <w:sz w:val="24"/>
        </w:rPr>
        <w:t>5.4 变更管理：</w:t>
      </w:r>
    </w:p>
    <w:p>
      <w:pPr>
        <w:ind w:firstLine="420"/>
        <w:jc w:val="left"/>
      </w:pPr>
      <w:r>
        <w:rPr>
          <w:rFonts w:ascii="仿宋" w:hAnsi="仿宋"/>
          <w:b w:val="0"/>
          <w:color w:val="000000"/>
          <w:sz w:val="24"/>
        </w:rPr>
        <w:t>变更管理措施针对信息化项目需求变更频发、范围蔓延风险高的特点，建立规范化变更控制流程。</w:t>
        <w:br/>
        <w:br/>
        <w:t>一、变更分类与分级</w:t>
        <w:br/>
        <w:t>按变更性质分为三类：设计变更（设计文件与技术方案的调整）、需求变更（业主单位业务需求的变化）、实施变更（承建单位施工方案与工艺的调整）。按变更影响分为三级：一般变更（投资影响小于5万元且工期影响小于3天）由监理审核；较大变更（投资影响5万-20万元或工期影响3-7天）由监理初审后报业主审批；重大变更（投资影响不小于20万元或工期影响不小于7天）须三方专题评审。</w:t>
        <w:br/>
        <w:br/>
        <w:t>二、变更管理流程</w:t>
        <w:br/>
        <w:t>1. 变更申请：承建单位或业主提出书面变更申请，说明变更原因、变更内容、变更方案、投资影响、工期影响，附必要的支撑材料（图纸、方案、报价清单）。口头承诺不作为变更依据，变更申请须在事件发生后7个工作日内提交。</w:t>
        <w:br/>
        <w:t>2. 监理初审：监理工程师评估变更的合理性、必要性，核查变更内容与原设计的符合性，评估对质量/进度/投资的影响，3个工作日内出具初审意见。初审意见须明确：同意/不同意/修改后重提。</w:t>
        <w:br/>
        <w:t>3. 三方评审：一般变更监理初审通过后即可实施；较大变更和重大变更须经总监理工程师组织业主单位、承建单位召开变更评审会，重大变更进行专项评审，形成三方签字确认的评审纪要，作为变更实施的依据。</w:t>
        <w:br/>
        <w:t>4. 变更审批：一般变更由总监理工程师签认后报业主备案；较大变更由总监理工程师签认后报业主主管部门审批；重大变更须经业主分管领导审批。审批通过后方可实施变更，未获批准的变更不得实施。</w:t>
        <w:br/>
        <w:t>5. 变更实施：承建单位按批准方案执行变更施工，监理对变更实施过程进行跟踪检查，重点核查变更内容与审批内容的符合性，记录变更实施情况，变更实施完成后进行专项验收确认。</w:t>
        <w:br/>
        <w:t>6. 变更台账管理：建立变更台账，记录所有变更申请（编号/日期/申请人）、审批情况（审批结论/审批人/审批日期）、实施情况（实施日期/完成情况），按项目归档备查。变更台账每月更新，向业主单位通报变更统计情况。</w:t>
        <w:br/>
        <w:br/>
        <w:t>三、变更控制原则</w:t>
        <w:br/>
        <w:t>（1）任何变更须经业主、承建单位、监理单位三方书面确认后方可实施，口头承诺不作为变更依据，已完成工程量的变更须附影像资料存档。</w:t>
        <w:br/>
        <w:t>（2）变更引起投资增加须控制在合同价5%以内，超过此限须重新报批或调整项目范围（砍减其他子系统功能），确需超限的须专项报告审批。</w:t>
        <w:br/>
        <w:t>（3）紧急变更（突发故障抢修、安全隐患整改）可先电话报告并录音，48小时内补办书面审批手续，未完成审批不得进入工程结算。</w:t>
        <w:br/>
        <w:t>（4）已完成的变更不得擅自撤销或修改，必须通过正式变更流程处理。</w:t>
        <w:br/>
        <w:t>（5）需求变更须重新评估对系统架构、软件设计、接口规范的影响，重大需求变更须重新进行设计评审。</w:t>
        <w:br/>
        <w:br/>
        <w:t>四、范围蔓延防控</w:t>
        <w:br/>
        <w:t>针对信息化项目常见的范围蔓延问题，建立专项防控机制：每周监理例会对项目范围执行情况进行审查，对照合同范围和已批准的变更记录，识别未经审批的新增功能或工作内容，发现范围蔓延迹象立即预警并要求停止相关作业，范围蔓延部分不得计入工程款支付。</w:t>
      </w:r>
    </w:p>
    <w:p>
      <w:pPr>
        <w:spacing w:before="160" w:after="80"/>
        <w:jc w:val="left"/>
      </w:pPr>
      <w:r>
        <w:rPr>
          <w:rFonts w:ascii="黑体" w:hAnsi="黑体"/>
          <w:b/>
          <w:color w:val="000000"/>
          <w:sz w:val="24"/>
        </w:rPr>
        <w:t>5.5 合同管理：</w:t>
      </w:r>
    </w:p>
    <w:p>
      <w:pPr>
        <w:ind w:firstLine="420"/>
        <w:jc w:val="left"/>
      </w:pPr>
      <w:r>
        <w:rPr>
          <w:rFonts w:ascii="仿宋" w:hAnsi="仿宋"/>
          <w:b w:val="0"/>
          <w:color w:val="000000"/>
          <w:sz w:val="24"/>
        </w:rPr>
        <w:t>合同管理措施针对信息化项目合同条款复杂、知识产权归属敏感、验收标准量化困难等特点，建立全面合同管理体系。</w:t>
        <w:br/>
        <w:br/>
        <w:t>一、合同交底与学习</w:t>
        <w:br/>
        <w:t>项目开工前对业主委托的监理合同进行全员交底，组织监理人员学习合同条款，明确监理工作范围、各方责任、监理费用支付条件（按节点支付/支付比例/支付前提条件）、违约责任等核心内容。监理人员须在合同交底记录上签字确认，确保每位监理人员熟悉自身职责边界。</w:t>
        <w:br/>
        <w:br/>
        <w:t>二、合同执行监督</w:t>
        <w:br/>
        <w:t>定期（每月一次）检查承建单位合同履约情况，核查项目经理及技术骨干到岗情况（人脸识别考勤或现场签到）、主要设备材料到场情况（对照合同货物清单）、施工进度与合同计划的符合性（对照合同工期计划），形成合同履约检查记录并向业主通报。对项目经理或技术负责人变更的，须提前报业主和监理审批。</w:t>
        <w:br/>
        <w:br/>
        <w:t>三、知识产权与源代码管理</w:t>
        <w:br/>
        <w:t>信息化项目合同须明确知识产权归属条款：业主单位拥有所建系统的全部知识产权（著作权、专利权、技术秘密），承建单位仅保留署名权和合理使用范围。本项目涉及的应用系统源代码须在终验前按合同约定方式托管（业主指定代码托管平台或第三方托管），源代码托管清单包括：综合管理平台、视频监控联网系统、情报分析系统等全部自主开发软件。依据《计算机软件保护条例》（国务院令第632号）第九条执行。</w:t>
        <w:br/>
        <w:br/>
        <w:t>四、验收标准条款管理</w:t>
        <w:br/>
        <w:t>合同中须明确验收标准（功能验收标准、性能指标、安全指标），避免验收争议。本项目验收标准包括：功能验收（按需求规格说明书逐项核验）、性能验收（响应时间不超过3秒/并发用户不小于500/系统可用性不小于99.5%）、安全验收（等保三级测评通过/无高危漏洞）。验收标准须在合同中量化，不得使用"业主满意"等模糊表述。</w:t>
        <w:br/>
        <w:br/>
        <w:t>五、软件许可合规管理</w:t>
        <w:br/>
        <w:t>审查承建单位使用的商业软件许可（Oracle、Microsoft、VMware等）的合法性和合规性，承建单位须提供软件授权书或授权采购证明，禁止使用盗版软件或许可数量不足的软件进入本项目。依据《计算机软件保护条例》第六条软件合法复制件规定执行。</w:t>
        <w:br/>
        <w:br/>
        <w:t>六、合同变更与补充协议</w:t>
        <w:br/>
        <w:t>涉及合同金额、工期、范围的变更须签订补充协议，不得以监理通知单替代合同变更手续。补充协议须明确变更内容、变更造价（综合单价或总价包干）、变更工期顺延，补充协议与原合同具有同等法律效力。</w:t>
        <w:br/>
        <w:br/>
        <w:t>七、索赔处理与争议调解</w:t>
        <w:br/>
        <w:t>收到承建单位或业主索赔申请后7个工作日内提出监理意见，核查索赔理由的合理性和证明材料的充分性（工期索赔须提供影响事件记录、工期计算依据；费用索赔须提供费用计算明细、合同依据），本着公正公平原则维护各方合法权益。对业主与承建单位间的合同争议，总监理工程师主持调解，提出调解建议，协调双方达成一致意见，调解不成的按合同约定的争议解决方式（仲裁/诉讼）处理。</w:t>
        <w:br/>
        <w:br/>
        <w:t>八、合同归档管理</w:t>
        <w:br/>
        <w:t>合同正本及全部变更文件、补充协议、索赔处理记录、会议纪要中涉及合同条款的内容统一归档管理，确保合同资料完整可查。合同原件由业主单位保管，监理单位保留复印件作为监理工作依据。</w:t>
      </w:r>
    </w:p>
    <w:p>
      <w:pPr>
        <w:spacing w:before="160" w:after="80"/>
        <w:jc w:val="left"/>
      </w:pPr>
      <w:r>
        <w:rPr>
          <w:rFonts w:ascii="黑体" w:hAnsi="黑体"/>
          <w:b/>
          <w:color w:val="000000"/>
          <w:sz w:val="24"/>
        </w:rPr>
        <w:t>5.6 信息管理：</w:t>
      </w:r>
    </w:p>
    <w:p>
      <w:pPr>
        <w:ind w:firstLine="420"/>
        <w:jc w:val="left"/>
      </w:pPr>
      <w:r>
        <w:rPr>
          <w:rFonts w:ascii="仿宋" w:hAnsi="仿宋"/>
          <w:b w:val="0"/>
          <w:color w:val="000000"/>
          <w:sz w:val="24"/>
        </w:rPr>
        <w:t>信息管理措施针对信息化项目文档量大、电子文件多的特点，建立规范化信息管理体系。</w:t>
        <w:br/>
        <w:br/>
        <w:t>一、信息管理目标</w:t>
        <w:br/>
        <w:t>信息管理目标：信息传递及时率100%；监理周报/月报按时提交率100%；会议纪要48小时内发出100%；监理资料归档完整率100%；业主需求响应时间：一般问题24小时，紧急问题4小时。</w:t>
        <w:br/>
        <w:br/>
        <w:t>二、信息沟通平台建设</w:t>
        <w:br/>
        <w:t>建立项目管理微信群（业主代表、项目经理、监理团队），日常信息实时传递，关键信息截图留存，项目重大事项在群内确认后以书面通知单为准；同步建立项目管理信息平台（OA/项目管理系统），实现文档共享（设计文件/变更单/测试报告在线查阅）、流程审批（变更审批/付款审批电子化）、进度跟踪（甘特图/里程碑进度可视化）。电子化平台须具备操作日志记录功能，所有操作可追溯。</w:t>
        <w:br/>
        <w:br/>
        <w:t>三、监理报告制度</w:t>
        <w:br/>
        <w:t>监理日志：每个监理人员每日填写，记录当日工作内容（旁站监理/巡视检查/见证取样）、发现问题及处理情况、设备运行参数，监理日志须当日提交归档。监理周报：每周一提交，内容包括本周进度完成情况（各子系统形象进度百分比）、质量问题及处理情况、安全隐患及整改情况、下周工作计划，重大问题配图说明。监理月报：每月5日前提交，内容包括月度进度/质量/投资综合分析（合同价/累计支出/执行偏差）、风险预警（进度风险/技术风险/资金风险）、热点难点问题专题分析。月报须经总监理工程师审核签发后报送业主。</w:t>
        <w:br/>
        <w:br/>
        <w:t>四、专题报告制度</w:t>
        <w:br/>
        <w:t>对重大问题（影响系统功能实现的技术难题）、安全隐患（重大安全风险）、变更事项（重大变更的审批情况）、安全事件（网络安全攻击/数据泄露）形成书面专题报告报送业主单位，报告须包含问题描述、原因分析、处理措施、跟踪结果，处理完毕后更新报告存档。</w:t>
        <w:br/>
        <w:br/>
        <w:t>五、会议纪要管理</w:t>
        <w:br/>
        <w:t>监理例会、专题会议形成书面纪要，经三方参会代表签字确认后48小时内发出，存档备查，作为各方决策和执行的依据。会议纪要须明确：会议议题、各方意见摘要、决议事项（明确责任人和完成时限）、遗留问题跟踪。</w:t>
        <w:br/>
        <w:br/>
        <w:t>六、文档管理制度</w:t>
        <w:br/>
        <w:t>设计文件（施工图/竣工图/设计变更）、变更单、会议纪要、监理日志、测试报告（功能测试/性能测试/安全测试）、验收资料（到货验收/初验/终验）分类归档，建立项目文档清单目录（文件编号/文件名称/版本/归档日期）。电子文档采用PDF格式归档，具有同等法律效力；纸质文档按档案管理规范整理移交。</w:t>
        <w:br/>
        <w:br/>
        <w:t>七、数字化档案要求</w:t>
        <w:br/>
        <w:t>竣工后整理全部监理档案移交业主单位，移交清单经双方签字确认。数字化档案须包含：监理规划（Word原文件+PDF盖章件）、监理实施细则、各阶段验收报告、监理通知单及回复、监理会议纪要、监理日志（纸质扫描件+电子版）、工程变更审批单、等保测评报告（原件）。依据《科学技术档案案卷构成的一般要求》（GB/T 10622.1-2010）整理立卷。</w:t>
      </w:r>
    </w:p>
    <w:p>
      <w:pPr>
        <w:spacing w:before="160" w:after="80"/>
        <w:jc w:val="left"/>
      </w:pPr>
      <w:r>
        <w:rPr>
          <w:rFonts w:ascii="黑体" w:hAnsi="黑体"/>
          <w:b/>
          <w:color w:val="000000"/>
          <w:sz w:val="24"/>
        </w:rPr>
        <w:t>5.7 组织协调：</w:t>
      </w:r>
    </w:p>
    <w:p>
      <w:pPr>
        <w:ind w:firstLine="420"/>
        <w:jc w:val="left"/>
      </w:pPr>
      <w:r>
        <w:rPr>
          <w:rFonts w:ascii="仿宋" w:hAnsi="仿宋"/>
          <w:b w:val="0"/>
          <w:color w:val="000000"/>
          <w:sz w:val="24"/>
        </w:rPr>
        <w:t>组织协调措施针对信息化项目参与方多（业主/承建单位/监理/设备供应商/电信运营商/公安主管部门）、协调界面复杂的特点，建立高效的多方协调机制。</w:t>
        <w:br/>
        <w:br/>
        <w:t>一、监理例会协调制度</w:t>
        <w:br/>
        <w:t>每周召开监理例会（时间固定为周五下午3:00，地点业主会议室或视频会议），参会人员包括业主代表、承建单位项目经理及技术负责人、监理团队全体成员。例会主要议题：各子系统进度情况通报、问题协调（界面交接/资源冲突/技术争议）、工作布置（本周工作完成情况/下周重点任务），形成例会纪要三方签认。例会缺席方须提前书面委托代表，无代表出席的视为认可例会纪要内容。</w:t>
        <w:br/>
        <w:br/>
        <w:t>二、专题会议协调制度</w:t>
        <w:br/>
        <w:t>针对专项问题随时组织专题会议，提前24小时发出会议议题和资料，会后48小时发出专题会议纪要。须召开专题会议的典型场景包括：网络安全技术方案评审（涉及等保三级技术要求，须公安网安部门或等保测评机构参与）、系统联调方案评审（多子系统接口对接方案）、软件功能验收标准确认（功能清单逐项确认）、重大变更三方评审（投资影响不小于20万元）、安全事故调查处理。</w:t>
        <w:br/>
        <w:br/>
        <w:t>三、日常协调机制</w:t>
        <w:br/>
        <w:t>建立微信工作群，每日进行日常协调，对施工现场发现的界面交接问题（网络/机房/应用系统交接界面）、资源冲突问题（施工人员/测试仪表争用）、技术问题（接口兼容性/配置参数争议）即时沟通解决。需书面确认的重要事项（变更实施确认/设备到货签收/初步验收确认）通过监理通知单流转，三方签认存档。</w:t>
        <w:br/>
        <w:br/>
        <w:t>四、争议调解机制</w:t>
        <w:br/>
        <w:t>总监理工程师主持调解业主与承建单位间的争议事项，提出调解方案，协调双方本着合作共赢原则达成一致意见。调解不成的事项，按合同约定提交争议评审委员会评审或进入仲裁/诉讼程序。调解过程须形成书面记录，争议各方签字确认。</w:t>
        <w:br/>
        <w:br/>
        <w:t>五、多方协调会制度</w:t>
        <w:br/>
        <w:t>对于涉及设备供应商（交换机厂家/服务器厂家/安全设备厂家）的重大技术问题，组织多方协调会，监理工程师主持，业主代表、承建单位项目经理、设备供应商技术人员共同参加，形成技术问题解决方案，明确各方责任和完成时限。设备供应商技术人员进场须到监理处登记备案。</w:t>
        <w:br/>
        <w:br/>
        <w:t>六、外部协调工作</w:t>
        <w:br/>
        <w:t>协调与公安主管部门（网络安全等级保护备案/涉密信息系统审批）、消防主管部门（建设工程消防设计审核/验收）、通信运营商（互联网专线接入/光纤铺设协调）、供电公司（临时施工用电/正式用电接入）、物业/业主内部各部门的关系，配合办理相关审批手续（施工许可联网审批、安全防范系统报备、通信线路接入协调等），确保项目外部环境顺畅。外部协调事项须形成书面协调纪要存档备查。</w:t>
      </w:r>
    </w:p>
    <w:p>
      <w:pPr>
        <w:spacing w:before="160" w:after="80"/>
        <w:jc w:val="left"/>
      </w:pPr>
      <w:r>
        <w:rPr>
          <w:rFonts w:ascii="黑体" w:hAnsi="黑体"/>
          <w:b/>
          <w:color w:val="000000"/>
          <w:sz w:val="24"/>
        </w:rPr>
        <w:t>5.8 安全管理：</w:t>
      </w:r>
    </w:p>
    <w:p>
      <w:pPr>
        <w:ind w:firstLine="420"/>
        <w:jc w:val="left"/>
      </w:pPr>
      <w:r>
        <w:rPr>
          <w:rFonts w:ascii="仿宋" w:hAnsi="仿宋"/>
          <w:b w:val="0"/>
          <w:color w:val="000000"/>
          <w:sz w:val="24"/>
        </w:rPr>
        <w:t>安全管理措施结合信息化项目施工特点（高空作业、用电安全、设备吊装、带电作业等），建立全过程安全管控体系。</w:t>
        <w:br/>
        <w:br/>
        <w:t>一、事前预防阶段</w:t>
        <w:br/>
        <w:t>1. 安全管理制度建立：建立项目安全管理制度，配备专职安全监理工程师，明确业主单位、承建单位、监理单位各方安全管理责任，编制《安全文明施工方案》及《安全事故应急预案》，报业主和监理审核批准后实施。制度依据《建设工程安全生产管理条例》（国务院令第393号）第十四条要求。</w:t>
        <w:br/>
        <w:t>2. 安全资质审查：审查承建单位安全生产许可证（建设施工资质证书）、项目经理和安全员的安全考核合格证书、特种作业人员（电工、焊工、高空作业）操作证，核查有效性，人证不符不得上岗作业。</w:t>
        <w:br/>
        <w:t>3. 安全交底制度：施工前对承建单位进行全面的安全技术交底，包括施工用电安全（机房配电柜操作规范、临时用电审批程序）、高空作业安全（脚手架搭建及使用规范、安全带佩戴要求）、设备吊装安全（吊装方案审批及操作规范、吊具检查）、带电作业安全（设备加电测试规范、放电操作规程），交底记录留存备查并经全员签字确认。依据《建设工程施工现场供用电安全规范》（GB 50194-2014）执行。</w:t>
        <w:br/>
        <w:t>4. 专项安全方案审批：对高空作业（脚手架搭建高度超过2米须编制专项方案并经审批）、临时用电（TN-S系统、三级配电两级保护）、设备吊装（吊装重量超过5吨须专项方案）等危险性较大的分部分项工程，承建单位须编制专项安全施工方案并经监理审批后方可实施。</w:t>
        <w:br/>
        <w:t>5. 应急物资储备核查：核查承建单位应急物资储备情况，包括灭火器（按规范配置，机房区域使用CO2灭火器）、消防沙袋、绝缘手套、绝缘靴、急救箱、应急照明设备等，确保应急物资完好有效。</w:t>
        <w:br/>
        <w:t>6. 安全风险评估：监理工程师对本项目施工各阶段进行安全风险评估，识别施工用电、临边洞口、高空坠落、物体打击、机械伤害等危险源，绘制安全风险平面布置图，明确重点管控区域，设置安全警示标志。</w:t>
        <w:br/>
        <w:br/>
        <w:t>二，事中控制阶段</w:t>
        <w:br/>
        <w:t>1. 日常安全巡查制度：监理工程师每日对施工现场进行安全巡查，重点检查施工用电（漏电保护器动作灵敏、接地可靠、无私拉乱接）、临边洞口（防护栏完好、无缺口）、高空作业（安全带佩戴、脚手架稳定性）、安全通道（畅通、无堆积杂物），发现问题即时拍照留证并签发安全监理通知单。</w:t>
        <w:br/>
        <w:t>2. 每周安全联合检查：每周组织业主、承建单位安全管理人员进行安全联合检查，对施工用电系统（配电箱、开关箱、接地保护）、消防设施（灭火器有效期内、放置位置合理）、特种作业（人证相符、操作规范）进行专项检查，形成安全检查记录。</w:t>
        <w:br/>
        <w:t>3. 机房施工专项安全管理：机房内施工须严格执行机房管理规定（禁止明火、禁止易燃易爆物品进入、禁止吸烟），设备加电测试须有两人以上操作，精密空调打压测试须设置警戒区域，UPS电池安装须防止短路和酸液泄漏。依据GB 50174-2017《数据中心设计规范》第9章运维要求。</w:t>
        <w:br/>
        <w:t>4. 室外监控施工安全管理：监控立杆安装须使用专用吊装工具，杆坑开挖须防止塌方，高空作业（立杆安装、球机安装）须使用升降车或脚手架，严禁违章作业。立杆安装后须进行防雷接地检测，接地电阻符合要求（不超过10欧姆）。</w:t>
        <w:br/>
        <w:t>5. 安全隐患整改闭环：对安全隐患实行发现→整改→复查闭环管理，一般隐患24小时内整改完成，重大隐患立即停工整改，整改完成并经验收合格后方可恢复施工，安全隐患整改率100%。整改情况每周在监理例会上通报。</w:t>
        <w:br/>
        <w:t>6. 安全防护用品检查：检查施工人员个人防护用品（安全帽、安全带、绝缘手套、防护鞋）配备及佩戴情况，未佩戴防护用品或防护用品不合格的立即停止作业，对承建单位安全员进行违规记录并扣分处理。</w:t>
        <w:br/>
        <w:br/>
        <w:t>三、事后纠正阶段</w:t>
        <w:br/>
        <w:t>1. 应急演练组织：督促承建单位在项目开工后30日内组织安全事故应急演练（消防应急演练、触电急救演练、物体打击急救演练），演练方案须经监理审核，演练过程须有记录，演练总结存档。依据《生产安全事故应急预案管理办法》（安监总局令第88号）。</w:t>
        <w:br/>
        <w:t>2. 事故报告与调查处理：发生安全事故后，事故现场人员立即向总监理工程师报告，总监理工程师按1小时内向业主单位和公司总部报告，重大事故按国家规定向建设行政主管部门报告。监理工程师配合事故调查，提供现场见证材料。</w:t>
        <w:br/>
        <w:t>3. 信息安全保密管理：加强项目信息安全保密管理，所有参与项目人员须签订保密协议，对涉及公安敏感数据的情报分析系统实施严格的访问控制和操作审计，禁止非授权人员接触敏感数据和系统。依据《中华人民共和国计算机信息系统安全保护条例》第九条执行。</w:t>
        <w:br/>
        <w:t>4. 安全培训教育：组织施工人员开展安全教育培训（每月至少1次），内容包括安全法规（《建设工程安全生产管理条例》）、安全操作规程（施工用电、高空作业、设备吊装）、应急处置知识，培训记录存档备查，安全培训覆盖率100%，培训考核合格方可上岗。</w:t>
        <w:br/>
        <w:t>5. 安全管理考核评价：建立施工安全管理考核评价机制，每月对承建单位安全管理情况进行考核评分（安全管理组织、隐患整改率、安全培训、安全设施配置），考核结果纳入月度评价并通报业主单位。</w:t>
      </w:r>
    </w:p>
    <w:p>
      <w:pPr>
        <w:spacing w:before="160" w:after="80"/>
        <w:jc w:val="left"/>
      </w:pPr>
      <w:r>
        <w:rPr>
          <w:rFonts w:ascii="黑体" w:hAnsi="黑体"/>
          <w:b/>
          <w:color w:val="000000"/>
          <w:sz w:val="24"/>
        </w:rPr>
        <w:t>5.9 风险管理：</w:t>
      </w:r>
    </w:p>
    <w:p>
      <w:pPr>
        <w:ind w:firstLine="420"/>
        <w:jc w:val="left"/>
      </w:pPr>
      <w:r>
        <w:rPr>
          <w:rFonts w:ascii="仿宋" w:hAnsi="仿宋"/>
          <w:b w:val="0"/>
          <w:color w:val="000000"/>
          <w:sz w:val="24"/>
        </w:rPr>
        <w:t>风险管理措施针对信息化项目技术迭代快、接口兼容风险高、数据迁移复杂等特点，建立全过程风险管理机制。</w:t>
        <w:br/>
        <w:br/>
        <w:t>一、风险识别机制</w:t>
        <w:br/>
        <w:t>项目开工前，总监理工程师组织监理团队对本项目进行全面的风险识别，识别维度包括技术风险（系统集成兼容性/软件架构稳定性/安全漏洞风险）、进度风险（设备到货延迟/软件开发延期/联调周期不足）、投资风险（变更超限/价格波动/结算审减争议）、人员风险（关键人员流动/人员资质不符）、安全风险（网络安全攻击/数据泄露/物理安全事故）。风险识别须覆盖七大子系统（网络/服务器/安全/应用/机房/室外监控/智能化配套），形成项目风险清单（风险编号/风险描述/风险类别/识别日期）。</w:t>
        <w:br/>
        <w:br/>
        <w:t>二、风险评估与分级</w:t>
        <w:br/>
        <w:t>对识别出的风险按可能性（高/中/低）和影响程度（重大/中等/一般）进行评级，采用风险矩阵（5x5矩阵）进行量化评估，确定重点监控风险项。重大风险（红色）须提交业主专题报告并制定专项应对方案；中等风险（橙色）纳入月度风险监控报告；一般风险（黄色）记录在案并持续跟踪。风险评估结果须经总监理工程师审核确认。</w:t>
        <w:br/>
        <w:br/>
        <w:t>三、风险应对计划制定</w:t>
        <w:br/>
        <w:t>针对重点风险制定风险应对措施，明确预防措施（风险发生前的规避或缓解行动）、应急处置措施（风险发生时的处置程序）、责任人、监控责任人。风险应对措施须具体可执行。</w:t>
        <w:br/>
        <w:br/>
        <w:t>四、主要风险及应对方案</w:t>
        <w:br/>
        <w:t>本项目重点风险清单及应对方案：</w:t>
        <w:br/>
        <w:t>1. 技术风险-系统集成兼容性问题：多厂商设备（交换机/服务器/安全设备/应用软件）互联互通存在兼容性问题。应对措施：设备招标阶段要求提供兼容性测试报告；设备到货后立即进行接口联调测试；制定接口不兼容的备选方案（如更换设备型号/降级功能）。依据GB/T 19668.1-2005第6.3条集成测试要求。</w:t>
        <w:br/>
        <w:t>2. 技术风险-软件架构稳定性：应用系统（综合管理平台/情报分析系统）架构设计不合理导致性能瓶颈或功能缺陷。应对措施：详细设计阶段进行架构评审（邀请外部专家参与）；核心模块进行原型验证（POC）；制定架构重构应急预案。</w:t>
        <w:br/>
        <w:t>3. 技术风险-等保测评不通过：安全建设整改不到位导致等保三级测评不通过。应对措施：在初验前6个月启动等保整改工作；委托具备等保测评资质的机构开展预测评；根据预测评报告制定整改清单并逐项销号。</w:t>
        <w:br/>
        <w:t>4. 进度风险-关键设备到货延迟：定制化服务器、网络设备交货周期长（30-45天）。应对措施：要求承建单位提前启动设备采购（开工后15天内完成订单下达）；制定设备到货延迟的赶工预案（并行实施已到货设备安装）；协调业主参与设备催货。</w:t>
        <w:br/>
        <w:t>5. 进度风险-软件联调周期不足：多系统联调测试时间被压缩（联调时间不足导致遗留隐患）。应对措施：在总进度计划中预留15天的联调缓冲期；制定联调优先级清单（核心功能优先联调）；建立联调问题台账，每日跟踪销号。</w:t>
        <w:br/>
        <w:t>6. 投资风险-设计变更超限：频繁变更导致投资增加突破合同价5%上限。应对措施：严格执行变更审批流程，控制变更数量；对超限风险及时预警；提前与业主沟通范围调整预案。</w:t>
        <w:br/>
        <w:t>7. 安全风险-数据迁移丢失：历史数据迁移过程中发生数据丢失或损坏。应对措施：制定数据迁移专项方案并经监理审批；迁移前进行数据全量备份；迁移后进行数据完整性校验（记录数校验/校验和校验）；制定数据回滚应急预案。</w:t>
        <w:br/>
        <w:t>8. 安全风险-网络安全事件：系统上线后遭受网络攻击或数据泄露。应对措施：制定网络安全应急预案并组织演练；部署入侵检测和日志审计系统；建立安全事件7x24小时响应机制；与公安网安部门建立联动机制。</w:t>
        <w:br/>
        <w:br/>
        <w:t>五、风险监控与报告</w:t>
        <w:br/>
        <w:t>每月在监理月报中专项报告风险监控情况，对新增风险和风险状态变化（风险升级/降级/消失）及时预警，对重大风险（红色）随时提交专题风险预警报告。风险清单实行动态管理，每月更新一次，风险状态变化须有变更记录。</w:t>
      </w:r>
    </w:p>
    <w:p>
      <w:pPr>
        <w:spacing w:before="160" w:after="80"/>
        <w:jc w:val="left"/>
      </w:pPr>
      <w:r>
        <w:rPr>
          <w:rFonts w:ascii="黑体" w:hAnsi="黑体"/>
          <w:b/>
          <w:color w:val="000000"/>
          <w:sz w:val="24"/>
        </w:rPr>
        <w:t>5.10 知识产权管理：</w:t>
      </w:r>
    </w:p>
    <w:p>
      <w:pPr>
        <w:ind w:firstLine="420"/>
        <w:jc w:val="left"/>
      </w:pPr>
      <w:r>
        <w:rPr>
          <w:rFonts w:ascii="仿宋" w:hAnsi="仿宋"/>
          <w:b w:val="0"/>
          <w:color w:val="000000"/>
          <w:sz w:val="24"/>
        </w:rPr>
        <w:t>知识产权管理针对信息化项目软件开发成果、软件源代码、技术文档等知识产权归属敏感、易引发争议的特点，建立专项知识产权管理体系。</w:t>
        <w:br/>
        <w:br/>
        <w:t>一、知识产权范围界定</w:t>
        <w:br/>
        <w:t>本项目知识产权管理范围包括：承建单位为本项目开发的全部软件成果（源代码、可执行文件、技术文档、数据库结构、操作手册）、系统设计文档（架构设计文档、数据库设计文档、接口设计文档、网络拓扑设计）、监理文档（监理规划、监理细则、监理报告中的原创内容）。依据《计算机软件保护条例》（国务院令第632号）第六条软件合法复制件规定，业主单位获得本项目所建系统的完整知识产权。</w:t>
        <w:br/>
        <w:br/>
        <w:t>二、知识产权归属条款</w:t>
        <w:br/>
        <w:t>本项目合同明确约定：业主单位拥有所建系统的全部知识产权（著作权、专利权、技术秘密），包括综合管理平台、视频监控联网系统、情报分析系统、数据库系统及全部自主开发的软件模块。承建单位保留署名权（软件产品可在界面标注"承建单位名称"），但不得将本项目软件成果用于其他项目或授权第三方使用。依据《中华人民共和国著作权法》（2020年修正）第十一条著作权归属规定。</w:t>
        <w:br/>
        <w:br/>
        <w:t>三、源代码托管要求</w:t>
        <w:br/>
        <w:t>承建单位须在项目终验前完成全部源代码的托管工作，托管方式为：向业主单位提交全部软件源代码的完整副本（光盘或加密U盘），并同步上传至业主指定的代码托管平台（GitLab/Gitea私有化部署）。源代码托管清单须经监理工程师逐项核对确认，包括但不限于：综合管理平台全部源代码、视频监控联网系统全部源代码、情报分析系统全部源代码、数据库中间件及接口源代码。源代码托管记录须有承建单位、监理单位、业主单位三方签字确认。</w:t>
        <w:br/>
        <w:br/>
        <w:t>四、第三方组件合规性管理</w:t>
        <w:br/>
        <w:t>承建单位使用的开源组件（操作系统Linux/数据库MySQL/中间件Nginx/开发框架Spring等）及第三方组件须进行许可证合规性审查，审查内容：开源组件许可证类型（GPL/LGPL/Apache/MIT等）、许可证兼容性（是否允许商业使用）、是否存在许可证冲突。发现许可证问题须立即更换相关组件。禁止使用已知存在许可证纠纷或已知严重安全漏洞的组件。</w:t>
        <w:br/>
        <w:br/>
        <w:t>五、软件著作权登记</w:t>
        <w:br/>
        <w:t>本项目竣工验收后，督促承建单位协助业主单位办理软件著作权登记手续，包括综合管理平台、视频监控联网系统、情报分析系统的软件著作权登记证书，登记完成后证书原件交业主单位保管。</w:t>
        <w:br/>
        <w:br/>
        <w:t>六、保密与竞业限制</w:t>
        <w:br/>
        <w:t>承建单位须对项目技术资料（源代码、设计文档、技术参数）保密，不得向第三方披露。涉及公安敏感数据的系统（情报分析系统）须额外签订专项保密协议，保密期限不少于5年。监理人员对项目过程中知悉的技术秘密负有保密义务。</w:t>
      </w:r>
    </w:p>
    <w:p>
      <w:pPr>
        <w:spacing w:before="240" w:after="120"/>
        <w:jc w:val="left"/>
      </w:pPr>
      <w:r>
        <w:rPr>
          <w:rFonts w:ascii="黑体" w:hAnsi="黑体"/>
          <w:b/>
          <w:color w:val="000000"/>
          <w:sz w:val="28"/>
        </w:rPr>
        <w:t>第六章 项目监理要点</w:t>
      </w:r>
    </w:p>
    <w:p>
      <w:pPr>
        <w:spacing w:before="160" w:after="80"/>
        <w:jc w:val="left"/>
      </w:pPr>
      <w:r>
        <w:rPr>
          <w:rFonts w:ascii="黑体" w:hAnsi="黑体"/>
          <w:b/>
          <w:color w:val="000000"/>
          <w:sz w:val="24"/>
        </w:rPr>
        <w:t>6.1 需求管理监理要点：</w:t>
      </w:r>
    </w:p>
    <w:p>
      <w:pPr>
        <w:ind w:firstLine="420"/>
        <w:jc w:val="left"/>
      </w:pPr>
      <w:r>
        <w:rPr>
          <w:rFonts w:ascii="仿宋" w:hAnsi="仿宋"/>
          <w:b w:val="0"/>
          <w:color w:val="000000"/>
          <w:sz w:val="24"/>
        </w:rPr>
        <w:t>需求管理监理要点按「事前审核→事中跟踪→事后确认」三阶段实施，重点把控需求质量，防止范围蔓延。</w:t>
        <w:br/>
        <w:br/>
        <w:t>一、事前审核阶段</w:t>
        <w:br/>
        <w:t>1. 需求调研计划审核：审核承建单位编制的需求调研计划，核查调研对象（业务部门/IT部门/最终用户）、调研方式（访谈/问卷/跟班）、调研时间安排、调研提纲的合理性，确保调研范围覆盖业主单位全部业务功能需求和管理需求。</w:t>
        <w:br/>
        <w:t>2. 需求规格说明书（SRS）审核：审核承建单位编写的需求规格说明书，重点审查功能需求的完整性（对照招标文件功能清单逐项核查）、明确性（每条需求描述清楚，无歧义）、可测试性（需求可转化为测试用例验证），非功能需求（性能需求：响应时间不超过3秒、并发用户不小于500；安全需求：等保三级；可靠性需求：可用性不小于99.5%；兼容性需求：支持主流浏览器/操作系统）的可描述性和可实现性。</w:t>
        <w:br/>
        <w:t>3. 需求确认机制建立：建立需求三方确认机制，组织业主单位业务部门负责人、承建单位项目经理、监理工程师召开需求确认会，对需求规格说明书逐条确认，确认后的需求作为需求基线，后续变更按变更管理流程处理。</w:t>
        <w:br/>
        <w:br/>
        <w:t>二，事中跟踪阶段</w:t>
        <w:br/>
        <w:t>1. 需求实现进度跟踪：对照需求规格说明书检查实际实现情况，每两周检查一次需求实现进度，对偏离需求基线的情况及时预警。监理工程师抽查承建单位开发团队对需求规格说明书的理解准确性，防止开发偏差。</w:t>
        <w:br/>
        <w:t>2. 需求变更控制：建立需求变更评审机制，对每一项需求变更评估其对进度（增加/减少工期天数）、投资（增加/减少投资金额）、质量（功能实现/性能指标）的影响。对影响重大的需求变更（影响进度超过3天或投资超过5万元）须经三方评审确认后纳入需求基线，变更记录全程可追溯。</w:t>
        <w:br/>
        <w:t>3. 需求验收标准确认：在设计阶段和编码阶段，对关键需求实现情况进行阶段性确认，防止开发后期大面积返工。需求验收标准与测试用例映射，确保每条需求有对应测试用例验证。</w:t>
        <w:br/>
        <w:br/>
        <w:t>三，事后确认阶段</w:t>
        <w:br/>
        <w:t>1. 需求实现完整性确认：系统测试阶段，对照需求规格说明书逐项验证功能实现情况，需求实现率须达到100%方可进入初验。验收测试用例须覆盖全部需求条目，需求条目与测试用例的映射表作为验收文档附件。</w:t>
        <w:br/>
        <w:t>2. 需求文档归档：确认后的需求规格说明书（含变更记录）、需求确认纪要、需求变更审批单统一归档，作为竣工资料移交业主单位，作为后续运维和系统升级的依据。</w:t>
      </w:r>
    </w:p>
    <w:p>
      <w:pPr>
        <w:spacing w:before="160" w:after="80"/>
        <w:jc w:val="left"/>
      </w:pPr>
      <w:r>
        <w:rPr>
          <w:rFonts w:ascii="黑体" w:hAnsi="黑体"/>
          <w:b/>
          <w:color w:val="000000"/>
          <w:sz w:val="24"/>
        </w:rPr>
        <w:t>6.2 设计开发监理要点：</w:t>
      </w:r>
    </w:p>
    <w:p>
      <w:pPr>
        <w:ind w:firstLine="420"/>
        <w:jc w:val="left"/>
      </w:pPr>
      <w:r>
        <w:rPr>
          <w:rFonts w:ascii="仿宋" w:hAnsi="仿宋"/>
          <w:b w:val="0"/>
          <w:color w:val="000000"/>
          <w:sz w:val="24"/>
        </w:rPr>
        <w:t>设计开发监理要点按「事前审核→事中跟踪→事后验收」三阶段实施，重点管控软件架构质量和代码质量。</w:t>
        <w:br/>
        <w:br/>
        <w:t>一、事前审核阶段</w:t>
        <w:br/>
        <w:t>1. 设计方案审核：审核系统架构设计（技术架构：微服务/SOA/单体；应用架构：前后端分离/三层架构；数据架构：关系型数据库/NoSQL/大数据平台；网络架构：核心层/汇聚层/接入层/VLAN规划）、数据库设计（概念模型ER图、逻辑模型表结构、物理模型表空间/索引设计）、网络拓扑设计（骨干网络架构、安全域划分：办公区/服务器区/安全区/互联网区、IP地址规划：私有地址段/VLAN划分）、安全设计（安全架构：防火墙/IDS/IPS/WAF、入侵检测、边界防护、准入控制、VPN隧道加密），确认设计方案满足需求规格说明书要求。依据GB/T 19668.5-2007《信息化工程监理规范 第5部分：软件工程监理规范》第5章设计阶段监理。</w:t>
        <w:br/>
        <w:t>2. 详细设计方案评审：组织专家（含业主方代表）对详细设计方案进行评审，重点审查数据库表结构设计（表名/字段/类型/约束）、接口设计（REST API/Soap/中间库）、类结构设计（关键类/方法/调用关系），评审通过后方可进入编码阶段。</w:t>
        <w:br/>
        <w:t>3. 开发环境审核：审核开发环境（开发工具/测试工具/配置管理工具）、测试环境（与生产环境一致的配置）、验收环境（生产环境镜像）的搭建方案，确保开发测试环境与生产环境的一致性。</w:t>
        <w:br/>
        <w:br/>
        <w:t>二，事中跟踪阶段</w:t>
        <w:br/>
        <w:t>1. 编码规范检查：检查承建单位编码规范（命名规范：类名/方法名/变量名遵循驼峰或下划线命名；注释规范：类注释/方法注释/关键逻辑注释；代码格式：缩进/换行/空格），审查代码版本管理系统（SVN/GIT）的使用和变更记录（每次提交须有提交说明），抽查核心模块代码质量（代码复杂度/重复代码率/安全漏洞），确保代码规范执行到位。</w:t>
        <w:br/>
        <w:t>2. 评审管理：参与和监督设计评审（架构设计评审、详细设计评审、数据库设计评审）、代码评审（代码走查、代码审查），审查评审组织情况（评审议程、评审参与人员、评审记录：问题记录/结论/待办项）和评审输出物质量，评审发现的问题须限期整改，整改情况由监理跟踪验证。</w:t>
        <w:br/>
        <w:t>3. 配置管理审核：审核配置管理系统使用情况，核查配置项（源代码/设计文档/测试用例/环境配置）的变更记录（变更人/变更时间/变更内容/变更原因）、版本发布记录（发布版本号/发布内容/发布审批人），确保配置管理流程规范有效，防止版本错乱和配置丢失。</w:t>
        <w:br/>
        <w:t>4. 开发进度跟踪：跟踪关键里程碑完成情况（需求确认→详细设计评审通过→编码完成→单元测试通过→集成测试通过→系统测试通过→试运行），每周检查里程碑完成进度，对进度偏差及时预警并督促赶工。</w:t>
        <w:br/>
        <w:br/>
        <w:t>三，事后验收阶段</w:t>
        <w:br/>
        <w:t>1. 源代码质量验收：终验前对全部源代码进行质量验收，核查源代码与设计文档的一致性、代码完整性（无缺失文件/无多余文件）、代码可编译性（提交后可直接编译通过）、代码安全性（无硬编码密码/无已知安全漏洞）。</w:t>
        <w:br/>
        <w:t>2. 第三方组件合规性验收：验收使用的开源组件许可证合规性（GPL类开源组件须确认可商业使用）、开源组件安全性（使用OWASP Dependency-Check扫描已知漏洞），发现许可证冲突或严重漏洞的组件须在终验前完成替换。</w:t>
        <w:br/>
        <w:t>3. 设计文档验收：审核承建单位提交的完整设计文档（架构设计文档、数据库设计文档、接口设计文档、详细设计文档、操作手册、维护手册），确认文档与实际系统的一致性，文档作为竣工资料归档。</w:t>
      </w:r>
    </w:p>
    <w:p>
      <w:pPr>
        <w:spacing w:before="160" w:after="80"/>
        <w:jc w:val="left"/>
      </w:pPr>
      <w:r>
        <w:rPr>
          <w:rFonts w:ascii="黑体" w:hAnsi="黑体"/>
          <w:b/>
          <w:color w:val="000000"/>
          <w:sz w:val="24"/>
        </w:rPr>
        <w:t>6.3 软件测试监理要点：</w:t>
      </w:r>
    </w:p>
    <w:p>
      <w:pPr>
        <w:ind w:firstLine="420"/>
        <w:jc w:val="left"/>
      </w:pPr>
      <w:r>
        <w:rPr>
          <w:rFonts w:ascii="仿宋" w:hAnsi="仿宋"/>
          <w:b w:val="0"/>
          <w:color w:val="000000"/>
          <w:sz w:val="24"/>
        </w:rPr>
        <w:t>软件测试监理要点按「事前审核方案→事中监督过程→事后审核报告」三阶段实施，重点管控测试覆盖度和测试质量。</w:t>
        <w:br/>
        <w:br/>
        <w:t>一、事前审核阶段</w:t>
        <w:br/>
        <w:t>1. 测试计划审核：审查承建单位编制的测试计划，核查测试范围（单元测试/集成测试/系统测试/验收测试）、测试方法（黑盒测试/白盒测试/灰盒测试）、测试用例覆盖度（覆盖全部功能需求/覆盖关键非功能需求）、测试环境配置（硬件配置/软件版本/网络环境）、测试时间安排（各阶段起止时间/测试人员安排），确认测试计划完整可行。测试用例数量应满足覆盖率要求（功能覆盖率不小于95%、语句覆盖率不小于80%、分支覆盖率不小于70%）。</w:t>
        <w:br/>
        <w:t>2. 测试用例评审：组织对测试用例进行评审，核查测试用例的完整性（覆盖全部需求条目）、正确性（测试步骤/预期结果描述准确）、可重复性（相同环境下可重复执行），测试用例评审通过后方可开始测试执行。</w:t>
        <w:br/>
        <w:t>3. 第三方测试机构资质审核：要求具备CNAS认可资质的第三方测试机构开展验收测试，审核测试机构资质证书（CNAS认可证书/等保测评机构推荐证书）、类似项目业绩（近三年同类项目测试经验），测试机构名单须经业主和监理共同确认。</w:t>
        <w:br/>
        <w:br/>
        <w:t>二，事中监督阶段</w:t>
        <w:br/>
        <w:t>1. 单元测试监督：监督承建单位开展单元测试，审查单元测试报告（测试模块/测试用例数/通过率/失败用例及原因），核查测试覆盖率（语句覆盖率不小于80%、分支覆盖率不小于70%），必要时对核心模块（综合管理平台业务逻辑模块/情报分析算法模块）进行抽检复测，确认单元测试质量符合要求。依据GB/T 19668.5-2007第6.4条软件测试监理要求。</w:t>
        <w:br/>
        <w:t>2. 集成测试监督：监督系统集成测试过程，关注各子系统间的接口兼容性测试（网络系统→服务器系统接口、服务器系统→应用系统接口、应用系统→智能化系统接口），审查接口测试报告（接口名称/测试方法/测试结果/问题记录）和联调记录，确认系统集成质量符合设计要求。集成测试不通过的接口须在系统测试前完成整改。</w:t>
        <w:br/>
        <w:t>3. 系统测试监督：监督功能测试（功能符合性：逐项验证功能需求条目）、性能测试（响应时间不超过3秒、并发用户不小于500、吞吐量不小于1000TPS）、安全测试（漏洞扫描：高危/中危漏洞数量、安全配置核查结果），审查测试报告，必要时组织第三方复测。系统测试发现的缺陷须建立缺陷管理台账，承建单位完成整改后须经回归测试验证。</w:t>
        <w:br/>
        <w:t>4. 第三方测试监督：监督第三方测试机构测试过程，核查测试方案的合理性（覆盖业主关注重点）、测试用例执行的规范性（按测试用例执行/无漏测）、测试报告的真实性（测试记录可追溯），第三方测试报告作为终验前置条件。</w:t>
        <w:br/>
        <w:br/>
        <w:t>三，事后审核阶段</w:t>
        <w:br/>
        <w:t>1. 测试报告审核：审核测试报告的真实性和有效性，核查测试方法、测试用例、测试结论的对应关系，测试报告须附测试环境说明、测试数据说明、测试工具版本。测试发现的缺陷须全部整改闭环（严重/一般缺陷100%关闭，提示类缺陷有关闭计划或说明）后方可进入终验。</w:t>
        <w:br/>
        <w:t>2. 回归测试管理：变更实施后须进行回归测试（针对变更涉及的功能点及关联功能点），审查回归测试用例覆盖度和测试结果，回归测试不通过不得进行终验。回归测试报告须明确变更内容、回归范围、测试结论。</w:t>
        <w:br/>
        <w:t>3. 测试文档归档：测试计划、测试用例、测试报告（功能测试报告/性能测试报告/安全测试报告）、缺陷管理记录统一归档，作为竣工资料移交业主单位。</w:t>
      </w:r>
    </w:p>
    <w:p>
      <w:pPr>
        <w:spacing w:before="160" w:after="80"/>
        <w:jc w:val="left"/>
      </w:pPr>
      <w:r>
        <w:rPr>
          <w:rFonts w:ascii="黑体" w:hAnsi="黑体"/>
          <w:b/>
          <w:color w:val="000000"/>
          <w:sz w:val="24"/>
        </w:rPr>
        <w:t>6.4 系统集成监理要点：</w:t>
      </w:r>
    </w:p>
    <w:p>
      <w:pPr>
        <w:ind w:firstLine="420"/>
        <w:jc w:val="left"/>
      </w:pPr>
      <w:r>
        <w:rPr>
          <w:rFonts w:ascii="仿宋" w:hAnsi="仿宋"/>
          <w:b w:val="0"/>
          <w:color w:val="000000"/>
          <w:sz w:val="24"/>
        </w:rPr>
        <w:t>系统集成监理要点按「事前审核方案→事中跟踪联调→事后验收确认」三阶段实施，重点把控多系统互联互通质量。</w:t>
        <w:br/>
        <w:br/>
        <w:t>一、事前审核阶段</w:t>
        <w:br/>
        <w:t>1. 集成方案审核：审查各子系统间的集成方案、接口规范（接口类型：REST API/中间库/消息队列、数据格式：JSON/XML、接口协议：HTTP/HTTPS、认证方式：Token/JWT）、数据交互协议（数据推送/数据拉取/定时同步），重点审核网络系统与服务器系统的集成（网络设备管理接口、服务器网络配置）、服务器系统与应用系统的集成（数据库连接配置、应用中间件配置）、应用系统与智能化系统的集成（视频监控协议：GB/T 28181、门禁系统协议：韦根/TCP/IP、报警系统协议：韦根/TCP/IP），确认集成接口技术可行。依据GB/T 19668.1-2005第6.3条集成测试要求。</w:t>
        <w:br/>
        <w:t>2. 接口测试计划审核：审核接口测试计划，核查接口测试用例覆盖度（正向用例/异常用例/边界用例）、测试环境配置、测试数据准备情况，确认接口测试方案完整。</w:t>
        <w:br/>
        <w:t>3. 数据迁移方案审核：审核历史数据迁移方案（数据抽取：全量/增量/CDC变更数据捕获；数据转换：格式转换/编码转换/数据清洗；数据加载：直接加载/分批加载/断点续传；迁移校验：记录数校验/校验和校验），审查迁移工具（工具名称/版本/有效性）和迁移测试记录。</w:t>
        <w:br/>
        <w:br/>
        <w:t>二，事中跟踪阶段</w:t>
        <w:br/>
        <w:t>1. 接口联调测试监督：组织各子系统间的接口联调测试，监督联调测试过程（联调环境确认/联调测试执行/联调问题记录），审查接口测试记录（接口名称/测试时间/测试人员/测试结果/问题描述）和联调报告，确认接口调用正常（HTTP状态码200/返回数据格式正确）、数据交互准确（数据内容与预期一致）、业务流程贯通（端到端业务闭环测试通过）。</w:t>
        <w:br/>
        <w:t>2. 数据迁移监督：监督历史数据迁移执行过程，核查迁移前数据全量备份记录、迁移过程监控日志、迁移后数据完整性校验结果（记录数一致/数据内容一致），对迁移过程中发现的数据问题（数据缺失/数据错误/数据格式异常）建立问题台账，承建单位须在规定期限内完成整改。</w:t>
        <w:br/>
        <w:t>3. 系统联调测试监督：监督多系统联动测试（综合管理平台→视频监控联网→情报分析系统联动；门禁系统→入侵报警系统→视频监控系统联动），关注业务流程的正确性（告警触发→视频弹出→录像存储完整链路）和完整性（各子系统联动触发条件/动作执行/日志记录），审查联调测试用例覆盖度和测试结果。</w:t>
        <w:br/>
        <w:t>4. 性能验证监督：监督压力测试和性能测试，确认系统性能满足设计指标（响应时间不超过3秒、并发用户数不小于500、网络带宽利用率不超过70%、存储IOPS满足数据库需求），性能不达标须整改后复测。性能测试报告须包含测试环境说明、测试工具、测试结果（平均值/峰值/ percentile 95/99）。</w:t>
        <w:br/>
        <w:br/>
        <w:t>三，事后验收阶段</w:t>
        <w:br/>
        <w:t>1. 集成问题台账闭环：汇总联调测试中发现的所有问题（问题编号/问题描述/发现时间/责任单位/整改措施/整改完成时间/验证结论），确认全部问题整改闭环后方可进入终验。集成问题台账须经三方签字确认。</w:t>
        <w:br/>
        <w:t>2. 集成验收文档审核：审核集成验收文档完整性，包括接口测试报告（全部接口测试结果）、数据迁移报告（迁移前后数据对比）、联调测试报告（联动场景测试结果）、性能测试报告（压力测试结果），文档作为竣工资料归档。</w:t>
      </w:r>
    </w:p>
    <w:p>
      <w:pPr>
        <w:spacing w:before="160" w:after="80"/>
        <w:jc w:val="left"/>
      </w:pPr>
      <w:r>
        <w:rPr>
          <w:rFonts w:ascii="黑体" w:hAnsi="黑体"/>
          <w:b/>
          <w:color w:val="000000"/>
          <w:sz w:val="24"/>
        </w:rPr>
        <w:t>6.5 网络与信息安全监理要点：</w:t>
      </w:r>
    </w:p>
    <w:p>
      <w:pPr>
        <w:ind w:firstLine="420"/>
        <w:jc w:val="left"/>
      </w:pPr>
      <w:r>
        <w:rPr>
          <w:rFonts w:ascii="仿宋" w:hAnsi="仿宋"/>
          <w:b w:val="0"/>
          <w:color w:val="000000"/>
          <w:sz w:val="24"/>
        </w:rPr>
        <w:t>网络安全监理要点结合网络安全等级保护三级（等保2.0三级）要求实施全生命周期安全管控，按「事前建设→事中测评→事后运维」三阶段实施。</w:t>
        <w:br/>
        <w:br/>
        <w:t>一、事前安全建设阶段</w:t>
        <w:br/>
        <w:t>1. 安全设计方案审核：审核网络安全架构设计（安全域划分：内网区/外联区/互联网区/安全管理区；边界防护：防火墙策略/访问控制列表ACL；入侵检测：IDS部署位置/规则库更新机制；准入控制：802.1X认证/设备准入；VPN隧道：IPSec VPN/SSL VPN加密），核查安全防护纵深层次设计（网络边界防护/区域间防护/主机防护/应用防护/数据防护），确认安全设计方案满足GB/T 22239-2019《网络安全等级保护基本要求》第三级安全要求。</w:t>
        <w:br/>
        <w:t>2. 安全建设整改计划审核：督促承建单位根据等保测评要求编制安全建设整改计划，审核整改计划的技术可行性（安全设备部署/安全策略配置/安全加固措施），确认整改计划覆盖全部高风险项和中风险项，整改完成时间须在初验前完成。</w:t>
        <w:br/>
        <w:t>3. 安全设备到货验收：按设备到货验收要求对防火墙、入侵检测系统（IDS）、入侵防御系统（IPS）、VPN网关、网络准入控制系统、安全审计系统等进行到货验收，核查设备序列号、授权数量（防火墙吞吐量授权/IDS规则库授权）、设备性能参数（是否满足设计带宽要求），验收合格方可安装部署。</w:t>
        <w:br/>
        <w:br/>
        <w:t>二，事中安全测评阶段</w:t>
        <w:br/>
        <w:t>1. 等保测评督促与审核：督促承建单位完成网络安全等级保护测评（三级），审核测评方案（测评范围：网络/主机/应用/数据安全；测评方法：访谈/核查/测试）、测评记录和测评报告（测评机构须具备等保测评资质，机构名单见公安部网络安全等级保护网）。依据公通字〔2007〕43号《信息安全等级保护管理办法》第四章测评相关规定。确认测评范围覆盖全部7个安全域（安全物理环境/安全通信网络/安全区域边界/安全计算环境/安全管理中心/安全管理制度/安全管理机构），测评结论为"优"或"良"方可进入终验环节。</w:t>
        <w:br/>
        <w:t>2. 漏洞扫描与整改督促：系统安装调试前进行安全漏洞扫描（系统漏洞：操作系统漏洞/数据库漏洞/中间件漏洞；应用漏洞：SQL注入/XSS/CSRF/文件上传；配置漏洞：安全配置缺失/弱口令/默认密码），使用主流漏洞扫描工具（Nessus/OpenVAS）进行扫描，发现漏洞须在入网前完成整改（高危漏洞7天内整改，中危漏洞15天内整改），整改后复测确认漏洞关闭，形成漏洞扫描报告存档备查。</w:t>
        <w:br/>
        <w:t>3. 安全配置核查：核查防火墙、入侵检测、安全网关、准入控制系统等安全设备的配置（安全策略：访问控制规则/NAT规则/VPN策略；入侵规则库版本：须为最新版本；安全特征库：病毒库/威胁情报库须为最近30天内更新），确认配置符合设计要求，安全设备特征库保持最新版本，配置核查记录存档。</w:t>
        <w:br/>
        <w:t>4. 渗透测试组织：系统初验前组织第三方安全测试机构开展渗透测试（具备CNAS安全测试资质），测试内容包括边界渗透（互联网入口突破/无线网络渗透）、权限提升（普通用户→管理员）、数据窃取（敏感数据获取路径），测试发现的高危漏洞须整改后复测，低危漏洞须制定整改计划（明确整改责任人和整改时间）。渗透测试报告作为终验前置材料。</w:t>
        <w:br/>
        <w:br/>
        <w:t>三，事后安全运维阶段</w:t>
        <w:br/>
        <w:t>1. 安全管理督查：督查安全制度（安全管理制度/操作规程/安全应急预案）、安全培训（人员安全意识培训：每年至少1次；安全技术培训：防火墙配置/入侵检测分析）、安全日志（网络设备日志/安全设备日志/操作系统日志/应用系统日志保存周期不小于6个月）管理情况，审查安全运维方案和应急预案。</w:t>
        <w:br/>
        <w:t>2. 应急响应机制审查：审查网络安全事件应急预案（应急响应流程：发现→报告→处置→恢复→总结；应急联络人及联系方式：7x24小时响应；应急资源：备件/工具/专家支持），督查应急演练（每年至少1次综合演练），确认应急响应流程有效运行。</w:t>
        <w:br/>
        <w:t>3. 安全运维交接：终验前审核安全运维交接文档（安全设备配置备份/安全策略文档/应急响应联系人名单/安全运维账号清单），确认运维文档完整移交业主单位安全管理部门。</w:t>
      </w:r>
    </w:p>
    <w:p>
      <w:pPr>
        <w:spacing w:before="160" w:after="80"/>
        <w:jc w:val="left"/>
      </w:pPr>
      <w:r>
        <w:rPr>
          <w:rFonts w:ascii="黑体" w:hAnsi="黑体"/>
          <w:b/>
          <w:color w:val="000000"/>
          <w:sz w:val="24"/>
        </w:rPr>
        <w:t>6.6 数据与数据库监理要点：</w:t>
      </w:r>
    </w:p>
    <w:p>
      <w:pPr>
        <w:ind w:firstLine="420"/>
        <w:jc w:val="left"/>
      </w:pPr>
      <w:r>
        <w:rPr>
          <w:rFonts w:ascii="仿宋" w:hAnsi="仿宋"/>
          <w:b w:val="0"/>
          <w:color w:val="000000"/>
          <w:sz w:val="24"/>
        </w:rPr>
        <w:t>数据监理要点针对信息化项目数据标准化要求高、数据迁移风险大、数据安全敏感等特点，建立专项数据管控体系。</w:t>
        <w:br/>
        <w:br/>
        <w:t>一、事前数据规划审核</w:t>
        <w:br/>
        <w:t>1. 数据标准化审核：审核数据编码规范（统一编码规则/编码长度/编码类型）、数据字典（数据项名称/数据类型/数据长度/取值范围/默认值）、数据格式标准（日期格式/金额格式/坐标格式），确认符合国家和行业数据标准（GB/T 19668.1-2005相关要求）。历史数据迁移前须进行数据质量核查（完整性/准确性/一致性/时效性），无效数据（空值/重复/错误格式）须清洗后方可迁移。</w:t>
        <w:br/>
        <w:t>2. 数据库部署方案审核：监督数据库服务器（Oracle/SQL Server/MySQL/人大金仓/达梦）安装配置，核查数据库存储规划（表空间划分/数据文件大小/增长策略）、备份策略（全量备份周期/增量备份周期/备份存储位置/备份保留周期）、日志配置（归档日志/日志文件大小/日志切换策略），确认数据库部署符合性能和安全要求。依据GB 50174-2017《数据中心设计规范》第8章数据系统要求。</w:t>
        <w:br/>
        <w:t>3. 数据安全设计审核：审核数据安全设计（数据传输加密：TLS1.2/SSL加密；数据存储加密：数据库透明数据加密TDE；数据备份加密；敏感数据脱敏规则：身份证号/手机号/银行卡号脱敏），确认数据安全措施满足等保三级要求。</w:t>
        <w:br/>
        <w:br/>
        <w:t>二，事中数据管理监督</w:t>
        <w:br/>
        <w:t>1. 数据迁移实施监督：监督历史数据迁移方案执行，核查迁移工具有效性（迁移工具经过测试验证）、迁移过程监控（迁移日志/迁移速度/数据量统计）、迁移后数据完整性校验（记录数对比/校验和对比/抽样数据对比），对迁移过程中发现的数据问题建立整改台账，承建单位限期完成整改。</w:t>
        <w:br/>
        <w:t>2. 数据质量抽检：数据迁移完成后，对迁移数据进行质量抽检（抽检比例不小于5%），重点检查数据完整性（无数据丢失）、数据准确性（数据内容正确）、数据一致性（格式统一），抽检不合格的须全面返工。</w:t>
        <w:br/>
        <w:t>3. 数据库运行监控：监督数据库运行状态，核查关键指标（连接数/CPU使用率/内存使用率/磁盘空间/查询响应时间），发现异常及时预警。对大表（单表记录数超过1000万）须审核分区方案和索引优化方案。</w:t>
        <w:br/>
        <w:br/>
        <w:t>三，事后数据验收确认</w:t>
        <w:br/>
        <w:t>1. 数据库验收测试：组织对数据库系统进行验收测试（功能测试：CRUD操作/存储过程/触发器；性能测试：并发查询/复杂查询响应时间；备份恢复测试：全量恢复/时间点恢复），验收测试通过后方可进入初验。</w:t>
        <w:br/>
        <w:t>2. 数据迁移验收确认：审查数据迁移报告（迁移数据总量/迁移成功率/迁移时长/数据质量报告），确认数据迁移验收通过。数据迁移报告作为竣工资料归档，迁移原始数据备份保留不少于6个月。</w:t>
        <w:br/>
        <w:t>3. 数据安全验收确认：确认数据安全措施落实到位（数据传输加密生效/数据存储加密生效/敏感数据脱敏有效/访问日志完整），数据安全验收作为终验的前置条件。</w:t>
      </w:r>
    </w:p>
    <w:p>
      <w:pPr>
        <w:spacing w:before="160" w:after="80"/>
        <w:jc w:val="left"/>
      </w:pPr>
      <w:r>
        <w:rPr>
          <w:rFonts w:ascii="黑体" w:hAnsi="黑体"/>
          <w:b/>
          <w:color w:val="000000"/>
          <w:sz w:val="24"/>
        </w:rPr>
        <w:t>6.7 设备材料到货验收监理要点：</w:t>
      </w:r>
    </w:p>
    <w:p>
      <w:pPr>
        <w:ind w:firstLine="420"/>
        <w:jc w:val="left"/>
      </w:pPr>
      <w:r>
        <w:rPr>
          <w:rFonts w:ascii="仿宋" w:hAnsi="仿宋"/>
          <w:b w:val="0"/>
          <w:color w:val="000000"/>
          <w:sz w:val="24"/>
        </w:rPr>
        <w:t>到货验收监理要点按「事前准备→开箱验收→安装测试」三阶段实施，确保设备质量符合合同要求。</w:t>
        <w:br/>
        <w:br/>
        <w:t>一、事前准备阶段</w:t>
        <w:br/>
        <w:t>1. 验收依据文件准备：监理工程师在设备到货前准备好合同货物清单（设备名称/型号/规格/数量/单价）、中标通知书、装箱单（箱号/设备序列号/附件清单）、技术规格书，作为到货验收的核对依据。对重要设备（核心交换机/服务器/防火墙）提前了解厂家供货周期和物流信息。</w:t>
        <w:br/>
        <w:t>2. 验收场地准备：确认到货验收场地具备条件（室内场地/有电源/有网络），精密设备到货验收须在到货后24小时内完成，以免超过设备存放期限。验收设备卸货时监理工程师须在场见证。</w:t>
        <w:br/>
        <w:br/>
        <w:t>二、开箱验收阶段</w:t>
        <w:br/>
        <w:t>1. 合同一致性核对：核对到货设备名称、型号、规格、数量与合同货物清单、中标通知书的一致性，核查序列号（唯一性，可通过厂家官网验证）、出厂日期、质保期限，对不一致项（品牌不符/型号不对/数量短缺）拍照取证并签发验收异议单。序列号须与厂家出厂记录一致，防止贴牌或翻新设备。</w:t>
        <w:br/>
        <w:t>2. 质量证明文件核查：核查设备产品合格证（厂家盖章/产品型号与实物一致）、出厂检测报告（出厂测试项目/测试结论/测试日期）、3C认证证书（强制认证设备：服务器/交换机/ups/精密空调须提供）、性能参数测试报告（不小于规格书要求的技术指标），对重要设备（服务器、防火墙、核心交换机）核查厂商供货授权证明和售后服务承诺（质保期限不小于1年/故障响应时间不超过4小时/备件支持周期不小于5年）。</w:t>
        <w:br/>
        <w:t>3. 外观及包装检查：检查设备外包装完好性（无破损/无受潮/无浸水），开箱后检查设备外观（无损伤/无划痕/无变形/无锈蚀）、设备型号铭牌（型号/序列号/电压/功率与外壳标签一致），检查附件（电源线/网线/支架/导轨/说明书/随机光盘）完整性，对精密设备（服务器/存储设备）检查防静电包装袋完好性。</w:t>
        <w:br/>
        <w:br/>
        <w:t>三、通电测试与签认阶段</w:t>
        <w:br/>
        <w:t>1. 通电功能测试：按厂商规范对设备进行基本功能测试，服务器加电检查BIOS配置（启动顺序/阵列卡配置/HBA配置）、风扇运行状态（无异响/转速正常/温度正常）、电源模块（输入电压/输出电压/冗余备份状态）、磁盘状态（RAID配置正确/硬盘识别正常/SMART状态良好），网络设备加电检查端口状态（全部端口UP/端口速率协商正确）、软件版本（与合同要求版本一致）、License状态（授权数量满足合同要求），测试结果记录存档。</w:t>
        <w:br/>
        <w:t>2. 重要设备性能抽检：对到货的重要设备按10%比例随机抽样进行性能抽检测试，服务器抽检测试（CPU基准测试/内存带宽测试/磁盘IO测试），交换机抽检测试（端口转发性能测试/VLAN功能测试/ACL功能测试），防火墙抽检测试（吞吐量测试/并发连接数测试/策略匹配测试），抽检不合格则整批退货或换货处理。</w:t>
        <w:br/>
        <w:t>3. 验收记录与签认：形成到货验收记录，详细记录验收时间、验收人员（业主代表/监理工程师/承建单位收货人）、验收内容（设备序列号/附件清单/外观检查结果/通电测试结果）、验收结论（合格/不合格/待整改），不合格设备注明不合格原因，处理意见（退货/换货/降级使用/扣款处理），三方签认后存档。不合格设备的处理结果须在5个工作日内向业主报告。</w:t>
      </w:r>
    </w:p>
    <w:p>
      <w:pPr>
        <w:spacing w:before="160" w:after="80"/>
        <w:jc w:val="left"/>
      </w:pPr>
      <w:r>
        <w:rPr>
          <w:rFonts w:ascii="黑体" w:hAnsi="黑体"/>
          <w:b/>
          <w:color w:val="000000"/>
          <w:sz w:val="24"/>
        </w:rPr>
        <w:t>6.8 安装调试监理要点：</w:t>
      </w:r>
    </w:p>
    <w:p>
      <w:pPr>
        <w:ind w:firstLine="420"/>
        <w:jc w:val="left"/>
      </w:pPr>
      <w:r>
        <w:rPr>
          <w:rFonts w:ascii="仿宋" w:hAnsi="仿宋"/>
          <w:b w:val="0"/>
          <w:color w:val="000000"/>
          <w:sz w:val="24"/>
        </w:rPr>
        <w:t>安装调试监理要点按「设备安装→系统部署→调试验收」三阶段实施，确保安装质量符合设计和规范要求。</w:t>
        <w:br/>
        <w:br/>
        <w:t>一、设备安装阶段</w:t>
        <w:br/>
        <w:t>1. 设备安装位置检查：检查设备安装位置符合设计平面图（机柜编号/设备安装U位/设备间距），机柜安装垂直度偏差不超过3mm，设备安装平整度偏差不超过2mm，机柜前后门开合顺畅。检查设备间间距（服务器间距不小于1U便于散热）符合GB 50174-2017《数据中心设计规范》第4章设备布置要求。</w:t>
        <w:br/>
        <w:t>2. 接地可靠性检查：检查接地系统（工作接地/保护接地/防雷接地）连接可靠性，接地线连接牢固（螺栓紧固/焊接牢靠），接地电阻测试（联合接地电阻不超过1欧姆/防雷接地不超过10欧姆/保护接地不超过4欧姆）合格，接地标识清晰。机房内所有金属设备外壳、桥架、配电箱须可靠接地。</w:t>
        <w:br/>
        <w:t>3. 线缆连接规范性检查：检查网线/光纤/电源线连接规范，网线须使用理线架整理（弯曲半径不小于4倍线径/无过度拉扯/无拧绞），光纤须使用光纤熔接或光纤尾纤连接（熔接损耗不超过0.05dB/弯曲半径不小于15mm），光纤标签两端标识清晰（起点/终点/编号），电源线布放整齐（相序正确/线径满足载流量要求/线缆颜色符合规范）。</w:t>
        <w:br/>
        <w:br/>
        <w:t>二、系统部署阶段</w:t>
        <w:br/>
        <w:t>1. 操作系统安装监督：监督操作系统安装（Windows Server 2019/CentOS 7/Ubuntu Server等），核查操作系统版本（与合同要求一致）、分区规划（系统盘/数据盘分离）、时区设置（中国标准时区CST-8）、网络参数配置（IP地址/子网掩码/网关/DNS），操作系统安装完成后须进行安全基线配置（密码策略/账户策略/审计策略）。</w:t>
        <w:br/>
        <w:t>2. 数据库部署监督：监督数据库系统（Oracle 19c/SQL Server 2019/MySQL 8.0/人大金仓/达梦DM8）安装配置，核查数据库安装目录/字符集设置（AL32UTF8/UTF8/GBK）/内存分配参数/监听器配置，数据库管理员账户密码强度符合要求，数据库部署完成须进行连接测试和性能基线测试。</w:t>
        <w:br/>
        <w:t>3. 应用系统部署监督：监督应用中间件（Tomcat/WebLogic/Nginx）和应用系统部署，核查中间件版本（与设计文档一致）、JDK版本、部署路径、启动参数配置，核查应用系统部署包（WAR/JAR包完整性/MD5校验）、应用配置文件（数据库连接池/缓存配置/日志级别），应用部署完成后进行功能冒烟测试（主要功能可正常访问）。</w:t>
        <w:br/>
        <w:br/>
        <w:t>三、调试验收阶段</w:t>
        <w:br/>
        <w:t>1. 网络参数配置审核：审核网络参数配置方案和实际配置（IP地址分配：静态IP/DHCP分配；VLAN配置：按设计划分；路由协议：静态路由/OSPF/RIP；ACL访问控制列表：按安全策略配置；QoS配置：带宽保证/优先级设置），确认网络参数配置正确合理，配置变更须经监理确认。</w:t>
        <w:br/>
        <w:t>2. 安全策略配置审核：审核防火墙策略（安全域间访问控制规则）、入侵检测规则库（规则版本/规则更新记录）、VPN隧道配置（Phase1/Phase2参数/加密算法/认证方式）、准入控制策略（802.1X配置/设备白名单），确认安全策略配置符合等保三级要求。</w:t>
        <w:br/>
        <w:t>3. 调试记录审查与归档：全程记录调试过程（调试时间/调试人员/调试内容/配置参数/问题及解决），形成调试记录文档，每项配置变更须经监理确认后实施，调试记录作为竣工资料归档。调试完成后组织初步验收（单机调试/单系统调试），初步验收通过后方可进入系统联调阶段。</w:t>
      </w:r>
    </w:p>
    <w:p>
      <w:pPr>
        <w:spacing w:before="160" w:after="80"/>
        <w:jc w:val="left"/>
      </w:pPr>
      <w:r>
        <w:rPr>
          <w:rFonts w:ascii="黑体" w:hAnsi="黑体"/>
          <w:b/>
          <w:color w:val="000000"/>
          <w:sz w:val="24"/>
        </w:rPr>
        <w:t>6.9 系统试运行监理要点：</w:t>
      </w:r>
    </w:p>
    <w:p>
      <w:pPr>
        <w:ind w:firstLine="420"/>
        <w:jc w:val="left"/>
      </w:pPr>
      <w:r>
        <w:rPr>
          <w:rFonts w:ascii="仿宋" w:hAnsi="仿宋"/>
          <w:b w:val="0"/>
          <w:color w:val="000000"/>
          <w:sz w:val="24"/>
        </w:rPr>
        <w:t>试运行监理要点按「试运行准备→试运行监控→试运行结论」三阶段实施，确保系统稳定可靠后进入终验。</w:t>
        <w:br/>
        <w:br/>
        <w:t>一、试运行准备阶段</w:t>
        <w:br/>
        <w:t>1. 试运行条件确认：确认系统具备试运行条件，包括：系统功能完整（全部功能模块部署完成/功能测试通过）、数据已迁移完成（数据完整性校验通过）、备份机制已建立（本地备份+异地备份策略已配置/备份恢复演练通过）、安全防护措施到位（防火墙策略生效/入侵检测运行/安全漏洞已整改），核查试运行方案（试运行时间安排/试运行内容/监控指标/应急处置）和应急预案（故障场景/处置流程/责任人），经业主、承建单位、监理单位三方确认后方可开始试运行。</w:t>
        <w:br/>
        <w:t>2. 试运行计划审查：审查试运行计划，确认试运行周期（重要系统：综合管理平台/视频监控联网系统/情报分析系统试运行期不少于30天；一般系统：智能化配套系统试运行期不少于15天），试运行期间每日监控指标记录表、问题报告和处理流程，确认试运行计划完整可行。</w:t>
        <w:br/>
        <w:br/>
        <w:t>二、试运行监控阶段</w:t>
        <w:br/>
        <w:t>1. 运行指标监控：每日监控核心系统运行指标，包括CPU使用率（正常不超过70%、告警不小于85%）、内存使用率（正常不超过80%、告警不小于90%）、磁盘IO（无频繁读写瓶颈）、网络带宽利用率（正常不超过70%、告警不小于85%）、应用响应时间（正常不超过3秒、告警不小于5秒）、数据库连接数（正常不超过70%最大连接数），发现指标异常立即分析原因（系统负载/网络问题/数据库瓶颈/程序bug）并督促承建单位整改。每日运行指标数据存档，形成系统运行趋势分析报告。</w:t>
        <w:br/>
        <w:t>2. 系统功能稳定性监控：监控各子系统功能稳定性，统计每日系统故障次数（系统不可用时长/功能异常次数），对重复发生的故障（同一功能点故障不小于3次）进行专项分析，承建单位须提交故障根因分析报告和预防措施。</w:t>
        <w:br/>
        <w:t>3. 问题分类记录与整改跟踪：试运行期间发现的问题按严重程度分类：严重问题（系统崩溃/数据丢失/安全问题）——立即停用相关功能/24小时内提交整改方案/48小时内完成整改；一般问题（功能缺陷/性能不达标/界面错误）——建立问题清单/7天内完成整改；提示性问题（优化建议/体验改进）——30天内完成整改或纳入后续版本迭代计划。问题整改完成后须经监理验证确认。</w:t>
        <w:br/>
        <w:br/>
        <w:t>三、试运行结论阶段</w:t>
        <w:br/>
        <w:t>1. 试运行结论评估：试运行期满后，综合评估试运行期间的系统运行情况，包括系统稳定性（故障次数/故障时长/MTBF平均无故障时间）、性能稳定性（响应时间趋势/并发能力趋势）、安全性（安全事件次数/漏洞发现数量）、数据完整性（数据处理准确率），结合问题整改情况，形成系统试运行结论报告。</w:t>
        <w:br/>
        <w:t>2. 试运行结论出具：试运行结论报告须经业主、承建单位、监理单位三方签字确认，结论分为：通过（全部指标达标，系统可进入终验）；整改后通过（存在一般问题，整改完成后可进入终验）；不通过（存在严重问题，须完成整改后重新试运行）。试运行结论报告作为竣工资料归档。</w:t>
      </w:r>
    </w:p>
    <w:p>
      <w:pPr>
        <w:spacing w:before="160" w:after="80"/>
        <w:jc w:val="left"/>
      </w:pPr>
      <w:r>
        <w:rPr>
          <w:rFonts w:ascii="黑体" w:hAnsi="黑体"/>
          <w:b/>
          <w:color w:val="000000"/>
          <w:sz w:val="24"/>
        </w:rPr>
        <w:t>6.10 竣工验收监理要点：</w:t>
      </w:r>
    </w:p>
    <w:p>
      <w:pPr>
        <w:ind w:firstLine="420"/>
        <w:jc w:val="left"/>
      </w:pPr>
      <w:r>
        <w:rPr>
          <w:rFonts w:ascii="仿宋" w:hAnsi="仿宋"/>
          <w:b w:val="0"/>
          <w:color w:val="000000"/>
          <w:sz w:val="24"/>
        </w:rPr>
        <w:t>竣工验收监理要点按「初验→整改→终验」三阶段实施，确保项目高质量交付。</w:t>
        <w:br/>
        <w:br/>
        <w:t>一、初验阶段</w:t>
        <w:br/>
        <w:t>1. 初验条件确认：确认系统满足初验条件，包括：全部合同约定的功能已实现（对照合同功能清单逐项核查）、全部设计文件已完成（竣工图/配置文档/操作手册）、全部测试已完成（功能测试/性能测试/安全测试/等保测评报告）、试运行已通过（试运行结论报告已出具）。初验申请须附初验自检报告，经监理审核后组织初验。</w:t>
        <w:br/>
        <w:t>2. 初验内容与方法：按合同、设计方案、技术规格书要求逐项核查系统功能完整性，初验方法包括：功能演示（承建单位逐项演示功能，监理和业主现场确认）、资料审查（设计变更文件/测试报告/验收证书/操作手册/维护手册完整性）、数据核查（系统数据准确性/报表准确性），对发现的问题形成初验整改清单（问题编号/问题描述/严重程度/整改要求/整改时限）。</w:t>
        <w:br/>
        <w:t>3. 竣工资料完整性审查：重点审查竣工资料完整性，包括设计文件（施工图/竣工图/设计变更通知单）、技术文档（测试报告/等保测评报告/验收报告/操作手册/维护手册/培训记录）、变更文件（设计变更通知单/变更审批单/变更实施记录）、设备随机资料（说明书/合格证/质保卡/随附光盘），对缺失资料要求承建单位在初验后15天内补齐。</w:t>
        <w:br/>
        <w:br/>
        <w:t>二、整改跟踪阶段</w:t>
        <w:br/>
        <w:t>1. 整改计划审查与跟踪：对初验发现的问题进行专项跟踪，监督承建单位制定整改计划（问题分解/整改措施/责任人/完成时限），整改计划经监理审核确认后执行。监理工程师对整改情况进行跟踪检查（每日跟踪整改进展），对整改不力的情形（整改超时/整改质量不合格）及时预警。</w:t>
        <w:br/>
        <w:t>2. 复验与确认：整改完成后组织复验（对初验发现问题的整改情况进行逐一验证），确认所有问题整改闭环，形成整改闭环记录（问题编号/整改措施/整改完成时间/验证结果）。复验通过后报请业主单位组织终验。</w:t>
        <w:br/>
        <w:br/>
        <w:t>三、终验阶段</w:t>
        <w:br/>
        <w:t>1. 终验条件确认：确认所有初验问题整改完成、试运行结论报告已出具（试运行通过）、竣工资料完整归档（全部资料已移交业主）、系统运行稳定（近30天无严重故障），满足终验条件后报请业主单位组织终验。终验申请须附终验条件确认清单。</w:t>
        <w:br/>
        <w:t>2. 终验组织与内容：终验由业主单位组织，承建单位和监理单位参加，终验内容包括：系统功能终验（全面复核全部合同功能点）、系统性能终验（性能测试报告审核+现场抽测）、系统安全终验（等保测评报告审核+安全漏洞复查）、竣工资料终验（全部竣工资料完整性审核）、文档移交终验（全部文档移交清单确认）。</w:t>
        <w:br/>
        <w:t>3. 验收签字确认：终验合格后，业主单位、承建单位、监理单位三方在验收证书上签字确认，系统正式移交业主单位，进入质保期。验收文件（一式四份，业主/承建单位/监理单位/档案馆各一份）存档备查。</w:t>
        <w:br/>
        <w:br/>
        <w:t>四、质保期管理</w:t>
        <w:br/>
        <w:t>1. 质保期明确：明确质保期起止时间（质保期自终验签字之日起计，不少于12个月），质保期内非业主原因导致的问题（系统故障/功能缺陷/性能不达标）由承建单位免费维护，质保期问题须在规定时限内响应和修复（严重问题4小时响应/24小时修复，一般问题24小时响应/7天修复）。</w:t>
        <w:br/>
        <w:t>2. 质保期满确认：质保期满前30天，监理工程师组织对系统进行全面复查，确认系统运行状态正常、无遗留问题后，业主单位、承建单位、监理单位三方签署质保期满确认书，系统正式进入运维阶段。</w:t>
      </w:r>
    </w:p>
    <w:p>
      <w:pPr>
        <w:spacing w:before="240" w:after="120"/>
        <w:jc w:val="left"/>
      </w:pPr>
      <w:r>
        <w:rPr>
          <w:rFonts w:ascii="黑体" w:hAnsi="黑体"/>
          <w:b/>
          <w:color w:val="000000"/>
          <w:sz w:val="28"/>
        </w:rPr>
        <w:t>第七章 信息管理</w:t>
      </w:r>
    </w:p>
    <w:p>
      <w:pPr>
        <w:ind w:firstLine="420"/>
        <w:jc w:val="left"/>
      </w:pPr>
      <w:r>
        <w:rPr>
          <w:rFonts w:ascii="仿宋" w:hAnsi="仿宋"/>
          <w:b w:val="0"/>
          <w:color w:val="000000"/>
          <w:sz w:val="24"/>
        </w:rPr>
        <w:t>7.1 信息管理目标：信息管理目标：</w:t>
        <w:br/>
        <w:t>1. 信息传递及时率：100%</w:t>
        <w:br/>
        <w:t>2. 监理周报/月报按时提交率：100%</w:t>
        <w:br/>
        <w:t>3. 会议纪要48小时内发出：100%</w:t>
        <w:br/>
        <w:t>4. 监理资料归档完整率：100%</w:t>
        <w:br/>
        <w:t>5. 业主需求响应时间：一般问题24小时，紧急问题4小时</w:t>
      </w:r>
    </w:p>
    <w:p>
      <w:pPr>
        <w:spacing w:before="160" w:after="80"/>
        <w:jc w:val="left"/>
      </w:pPr>
      <w:r>
        <w:rPr>
          <w:rFonts w:ascii="黑体" w:hAnsi="黑体"/>
          <w:b/>
          <w:color w:val="000000"/>
          <w:sz w:val="24"/>
        </w:rPr>
        <w:t>7.2 信息沟通机制：</w:t>
      </w:r>
    </w:p>
    <w:p>
      <w:pPr>
        <w:ind w:firstLine="420"/>
        <w:jc w:val="left"/>
      </w:pPr>
      <w:r>
        <w:rPr>
          <w:rFonts w:ascii="仿宋" w:hAnsi="仿宋"/>
          <w:b w:val="0"/>
          <w:color w:val="000000"/>
          <w:sz w:val="24"/>
        </w:rPr>
        <w:t>信息沟通机制：</w:t>
        <w:br/>
        <w:t>1. 工作群沟通：建立项目管理微信群（业主代表、项目经理、监理团队），日常信息实时传递，关键信息截图留存，项目重大事项在群内确认后以书面通知单为准。</w:t>
        <w:br/>
        <w:t>2. 监理例会：每周五下午3:00召开监理例会，地点业主会议室或视频会议，参会人员为业主代表、承建单位项目经理、监理团队全体成员，例会通报进度、协调问题、布置工作，形成例会纪要三方签认。</w:t>
        <w:br/>
        <w:t>3. 专题会议：针对专项问题随时组织专题会议，提前24小时发出会议议题和资料，会后48小时发出专题会议纪要。</w:t>
        <w:br/>
        <w:t>4. 书面通知：重要事项采用书面监理通知单形式，三方签认，作为工作依据和存档凭证。</w:t>
      </w:r>
    </w:p>
    <w:p>
      <w:pPr>
        <w:spacing w:before="160" w:after="80"/>
        <w:jc w:val="left"/>
      </w:pPr>
      <w:r>
        <w:rPr>
          <w:rFonts w:ascii="黑体" w:hAnsi="黑体"/>
          <w:b/>
          <w:color w:val="000000"/>
          <w:sz w:val="24"/>
        </w:rPr>
        <w:t>7.3 项目报告制度：</w:t>
      </w:r>
    </w:p>
    <w:p>
      <w:pPr>
        <w:ind w:firstLine="420"/>
        <w:jc w:val="left"/>
      </w:pPr>
      <w:r>
        <w:rPr>
          <w:rFonts w:ascii="仿宋" w:hAnsi="仿宋"/>
          <w:b w:val="0"/>
          <w:color w:val="000000"/>
          <w:sz w:val="24"/>
        </w:rPr>
        <w:t>项目报告制度：</w:t>
        <w:br/>
        <w:t>1. 监理日志：每个监理人员每日填写监理日志，记录当日工作内容（旁站监理/巡视检查/见证取样）、发现问题及处理情况，监理日志须当日提交归档，作为监理工作过程记录。</w:t>
        <w:br/>
        <w:t>2. 监理周报：每周一提交，内容包括本周进度完成情况（各子系统形象进度）、质量问题及处理情况、安全隐患及整改情况、下周工作计划，重大问题配图说明。</w:t>
        <w:br/>
        <w:t>3. 监理月报：每月5日前提交，内容包括月度进度/质量/投资综合分析、风险预警、热点难点问题专题分析。月报须经总监理工程师审核签发后报送业主。</w:t>
        <w:br/>
        <w:t>4. 专题报告：针对重大问题、变更事项、安全隐患、安全事件的专项报告，报告须包含问题描述、原因分析、处理措施、跟踪结果。</w:t>
      </w:r>
    </w:p>
    <w:p>
      <w:pPr>
        <w:spacing w:before="160" w:after="80"/>
        <w:jc w:val="left"/>
      </w:pPr>
      <w:r>
        <w:rPr>
          <w:rFonts w:ascii="黑体" w:hAnsi="黑体"/>
          <w:b/>
          <w:color w:val="000000"/>
          <w:sz w:val="24"/>
        </w:rPr>
        <w:t>7.4 文档管理要求：</w:t>
      </w:r>
    </w:p>
    <w:p>
      <w:pPr>
        <w:spacing w:before="160" w:after="80"/>
        <w:jc w:val="left"/>
      </w:pPr>
      <w:r>
        <w:rPr>
          <w:rFonts w:ascii="黑体" w:hAnsi="黑体"/>
          <w:b/>
          <w:color w:val="000000"/>
          <w:sz w:val="24"/>
        </w:rPr>
        <w:t>7.5 档案归档要求：</w:t>
      </w:r>
    </w:p>
    <w:p>
      <w:pPr>
        <w:spacing w:before="240" w:after="120"/>
        <w:jc w:val="left"/>
      </w:pPr>
      <w:r>
        <w:rPr>
          <w:rFonts w:ascii="黑体" w:hAnsi="黑体"/>
          <w:b/>
          <w:color w:val="000000"/>
          <w:sz w:val="28"/>
        </w:rPr>
        <w:t>第八章 监理工作制度</w:t>
      </w:r>
    </w:p>
    <w:p>
      <w:pPr>
        <w:ind w:firstLine="420"/>
        <w:jc w:val="left"/>
      </w:pPr>
      <w:r>
        <w:rPr>
          <w:rFonts w:ascii="仿宋" w:hAnsi="仿宋"/>
          <w:b w:val="0"/>
          <w:color w:val="000000"/>
          <w:sz w:val="24"/>
        </w:rPr>
        <w:t>8.1 监理会议制度：监理会议制度：</w:t>
        <w:br/>
        <w:t>1. 监理例会：每周1次，时间固定周五下午3:00，参会人员包括业主代表、承建单位项目经理、监理单位全体成员，主要议题为进度通报、问题协调、工作布置，例会纪要48小时内发出三方签认。</w:t>
        <w:br/>
        <w:t>2. 专题会议：针对专项问题（网络安全技术方案、软件功能验收标准、系统联调方案、重大变更评审）随时组织，提前24小时发出会议议题和资料，会后48小时发出专题会议纪要。</w:t>
        <w:br/>
        <w:t>3. 会议缺席处理：缺席方须提前书面委托代表，无代表出席视为认可例会纪要内容；会议纪要作为各方决策和执行的依据，存档备查。</w:t>
      </w:r>
    </w:p>
    <w:p>
      <w:pPr>
        <w:spacing w:before="160" w:after="80"/>
        <w:jc w:val="left"/>
      </w:pPr>
      <w:r>
        <w:rPr>
          <w:rFonts w:ascii="黑体" w:hAnsi="黑体"/>
          <w:b/>
          <w:color w:val="000000"/>
          <w:sz w:val="24"/>
        </w:rPr>
        <w:t>8.2 监理报告制度：</w:t>
      </w:r>
    </w:p>
    <w:p>
      <w:pPr>
        <w:spacing w:before="160" w:after="80"/>
        <w:jc w:val="left"/>
      </w:pPr>
      <w:r>
        <w:rPr>
          <w:rFonts w:ascii="黑体" w:hAnsi="黑体"/>
          <w:b/>
          <w:color w:val="000000"/>
          <w:sz w:val="24"/>
        </w:rPr>
        <w:t>8.3 监理保密制度：</w:t>
      </w:r>
    </w:p>
    <w:p>
      <w:pPr>
        <w:ind w:firstLine="420"/>
        <w:jc w:val="left"/>
      </w:pPr>
      <w:r>
        <w:rPr>
          <w:rFonts w:ascii="仿宋" w:hAnsi="仿宋"/>
          <w:b w:val="0"/>
          <w:color w:val="000000"/>
          <w:sz w:val="24"/>
        </w:rPr>
        <w:t>8.4 监理考核制度：监理考核制度针对监理项目团队的工作质量、执业规范、职业道德等方面，建立科学的考核评价机制。</w:t>
        <w:br/>
        <w:br/>
        <w:t>一、考核组织与周期</w:t>
        <w:br/>
        <w:t>监理考核工作由监理单位质量管理部组织实施，每季度对项目监理部进行一次综合考核；建设单位可对监理单位执业情况进行年度评价，评价结果纳入监理单位履约考核。考核内容包括：监理人员到岗情况（总监/专业监理工程师/监理员出勤率）、监理工作质量（监理通知单数量及闭合率/旁站监理记录完整性/监理日志规范性）、投资控制效果（工程结算审减率）、进度控制效果（项目按期完工率）、安全控制效果（安全事故发生数）、廉洁执业情况（有无吃拿卡要/违规违纪）。</w:t>
        <w:br/>
        <w:br/>
        <w:t>二、监理人员执业考核</w:t>
        <w:br/>
        <w:t>总监理工程师考核内容：监理规划/细则编制质量、监理会议组织能力、变更审批规范性、与业主沟通协调效果。专业监理工程师考核内容：本专业监理细则执行情况、关键工序旁站到位率、质量安全问题发现及处置能力、监理日志记录质量。监理员考核内容：日常巡检到位率、见证取样规范性、监理通知单跟踪闭环情况。</w:t>
        <w:br/>
        <w:br/>
        <w:t>三、考核评分标准</w:t>
        <w:br/>
        <w:t>采用百分制考核，评分标准：90-100分为优秀（监理工作规范，质量优良）；80-89分为良好（监理工作正常，质量合格）；70-79分为合格（监理工作基本到位，存在不足）；70分以下为不合格（监理工作存在重大问题，须整改）。季度考核结果与监理人员绩效奖金挂钩，不合格者须参加专项培训并考核合格后方可继续执业。</w:t>
        <w:br/>
        <w:br/>
        <w:t>四、考核改进与反馈</w:t>
        <w:br/>
        <w:t>考核结果向被考核监理人员反馈，对考核中发现的问题制定改进计划，限期整改并跟踪验证。连续两个季度考核不合格的监理人员，监理单位须对其岗位进行调整。考核优秀者在晋升、评优中优先推荐。</w:t>
      </w:r>
    </w:p>
    <w:p>
      <w:pPr>
        <w:spacing w:before="160" w:after="80"/>
        <w:jc w:val="left"/>
      </w:pPr>
      <w:r>
        <w:rPr>
          <w:rFonts w:ascii="黑体" w:hAnsi="黑体"/>
          <w:b/>
          <w:color w:val="000000"/>
          <w:sz w:val="24"/>
        </w:rPr>
        <w:t>8.5 监理考勤制度：</w:t>
      </w:r>
    </w:p>
    <w:p>
      <w:pPr>
        <w:ind w:firstLine="420"/>
        <w:jc w:val="left"/>
      </w:pPr>
      <w:r>
        <w:rPr>
          <w:rFonts w:ascii="仿宋" w:hAnsi="仿宋"/>
          <w:b w:val="0"/>
          <w:color w:val="000000"/>
          <w:sz w:val="24"/>
        </w:rPr>
        <w:t>8.6 廉洁执业制度：廉洁执业制度针对监理工作涉及工程款支付、变更审批、设备验收等廉政风险点，建立严格的廉洁从业规范。</w:t>
        <w:br/>
        <w:br/>
        <w:t>一、廉洁执业准则</w:t>
        <w:br/>
        <w:t>监理人员须严格遵守国家法律法规和监理职业道德，廉洁自律，秉公执业，不得利用职务之便谋取不正当利益。监理人员不得接受承建单位或设备供应商的礼金、礼券、礼品，不得参加承建单位或供应商安排的宴请（工作餐除外）、旅游、娱乐活动，不得向承建单位或供应商借用财物或报销个人费用，不得入股或参股与本项目相关的经济实体。依据《建设工程监理规范》（GB/T 50319-2013）第3.2.4条监理人员职业道德。</w:t>
        <w:br/>
        <w:br/>
        <w:t>二、利益冲突回避</w:t>
        <w:br/>
        <w:t>监理人员与承建单位或供应商存在利害关系（如亲属关系、经济利益关系）须主动向监理单位报告并申请回避。承建单位项目经理或技术负责人与监理人员有私人关系的，双方均须报告，项目经理须更换，监理人员须回避相关工作。</w:t>
        <w:br/>
        <w:br/>
        <w:t>三、廉政承诺与公示</w:t>
        <w:br/>
        <w:t>项目开工前，总监理工程师代表全体监理人员签署《廉洁执业承诺书》，承诺书在项目部公示。承诺书内容包括：不收受礼金礼品、不参加宴请娱乐、不介绍亲属参与本项目、不透露评审内幕信息。承诺书向业主单位和监理单位备案。</w:t>
        <w:br/>
        <w:br/>
        <w:t>四、违规行为监督与举报</w:t>
        <w:br/>
        <w:t>建立违规行为监督举报机制，业主单位、承建单位均可对监理人员的违规行为进行举报，举报可采用书面或口头方式（匿名举报亦受理）。监理单位对举报内容进行调查核实，对查实的违规行为依法依规处理。</w:t>
        <w:br/>
        <w:br/>
        <w:t>五、违规行为处理</w:t>
        <w:br/>
        <w:t>监理人员违反廉洁执业准则的，视情节轻重给予处分：情节轻微的，进行诫勉谈话并通报批评；情节较重的，降低监理薪酬等级并暂停执业资格；情节严重的，解除劳动合同并向行业协会通报；涉嫌犯罪的，移送司法机关处理。因监理人员廉洁问题给业主单位造成损失的，监理单位依法承担相应赔偿责任。</w:t>
      </w:r>
    </w:p>
    <w:sectPr w:rsidR="00FC693F" w:rsidRPr="0006063C" w:rsidSect="00034616">
      <w:headerReference w:type="default" r:id="rId9"/>
      <w:footerReference w:type="default" r:id="rId10"/>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仿宋" w:hAnsi="仿宋" w:eastAsia="仿宋"/>
        <w:sz w:val="18"/>
      </w:rPr>
      <w:t>第 X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仿宋" w:hAnsi="仿宋" w:eastAsia="仿宋"/>
        <w:sz w:val="18"/>
      </w:rPr>
      <w:t>PJ803_监理规划 V3.0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