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F74" w:rsidRPr="00BD4565" w:rsidRDefault="00061F74" w:rsidP="00061F74">
      <w:pPr>
        <w:jc w:val="center"/>
        <w:rPr>
          <w:rFonts w:ascii="Arial" w:hAnsi="Arial" w:cs="Arial"/>
          <w:b/>
        </w:rPr>
      </w:pPr>
      <w:bookmarkStart w:id="0" w:name="_GoBack"/>
      <w:bookmarkEnd w:id="0"/>
      <w:r w:rsidRPr="00BD4565">
        <w:rPr>
          <w:rFonts w:ascii="Arial" w:hAnsi="Arial" w:cs="Arial"/>
          <w:b/>
        </w:rPr>
        <w:t>OPTIONS AND FUTURES MARKETS</w:t>
      </w:r>
    </w:p>
    <w:p w:rsidR="00061F74" w:rsidRDefault="00061F74" w:rsidP="00061F74">
      <w:pPr>
        <w:spacing w:after="0" w:line="240" w:lineRule="auto"/>
        <w:rPr>
          <w:rFonts w:ascii="Arial" w:hAnsi="Arial" w:cs="Arial"/>
          <w:b/>
        </w:rPr>
      </w:pPr>
      <w:r w:rsidRPr="00BD4565">
        <w:rPr>
          <w:rFonts w:ascii="Arial" w:hAnsi="Arial" w:cs="Arial"/>
          <w:b/>
        </w:rPr>
        <w:t>Description</w:t>
      </w:r>
    </w:p>
    <w:p w:rsidR="00061F74" w:rsidRDefault="00061F74" w:rsidP="00061F74">
      <w:pPr>
        <w:spacing w:after="0" w:line="240" w:lineRule="auto"/>
        <w:rPr>
          <w:rFonts w:ascii="Arial" w:hAnsi="Arial" w:cs="Arial"/>
          <w:b/>
        </w:rPr>
      </w:pPr>
    </w:p>
    <w:p w:rsidR="00061F74" w:rsidRPr="00DE29DB" w:rsidRDefault="00061F74" w:rsidP="00061F74">
      <w:pPr>
        <w:spacing w:after="0" w:line="240" w:lineRule="auto"/>
        <w:rPr>
          <w:rFonts w:ascii="Arial" w:hAnsi="Arial" w:cs="Arial"/>
          <w:b/>
        </w:rPr>
      </w:pPr>
      <w:r w:rsidRPr="00BD4565">
        <w:rPr>
          <w:rFonts w:ascii="Arial" w:hAnsi="Arial" w:cs="Arial"/>
        </w:rPr>
        <w:t>This course covers forwards, futures, swaps, and options. By the end of the course, students will have good knowledge of how these products work, how they are used, how they are priced, and how financial institutions hedge their risks when they trade the products. More advanced material on derivative products and risk management is covered</w:t>
      </w:r>
      <w:r>
        <w:rPr>
          <w:rFonts w:ascii="Arial" w:hAnsi="Arial" w:cs="Arial"/>
        </w:rPr>
        <w:t xml:space="preserve"> in later electives</w:t>
      </w:r>
      <w:r w:rsidRPr="00BD4565">
        <w:rPr>
          <w:rFonts w:ascii="Arial" w:hAnsi="Arial" w:cs="Arial"/>
        </w:rPr>
        <w:t>.</w:t>
      </w:r>
    </w:p>
    <w:p w:rsidR="00061F74" w:rsidRDefault="00061F74" w:rsidP="00061F74">
      <w:pPr>
        <w:pStyle w:val="Heading3"/>
        <w:numPr>
          <w:ilvl w:val="0"/>
          <w:numId w:val="0"/>
        </w:numPr>
        <w:spacing w:after="0"/>
        <w:rPr>
          <w:rFonts w:ascii="Arial" w:hAnsi="Arial"/>
          <w:szCs w:val="22"/>
        </w:rPr>
      </w:pPr>
      <w:r w:rsidRPr="00BD4565">
        <w:rPr>
          <w:rFonts w:ascii="Arial" w:hAnsi="Arial"/>
          <w:szCs w:val="22"/>
        </w:rPr>
        <w:t>Required Readings</w:t>
      </w:r>
    </w:p>
    <w:p w:rsidR="00061F74" w:rsidRPr="007C35B6" w:rsidRDefault="00061F74" w:rsidP="00061F74">
      <w:pPr>
        <w:rPr>
          <w:lang w:val="en-CA"/>
        </w:rPr>
      </w:pPr>
    </w:p>
    <w:p w:rsidR="00061F74" w:rsidRDefault="00061F74" w:rsidP="00061F74">
      <w:pPr>
        <w:spacing w:after="0"/>
        <w:rPr>
          <w:rFonts w:ascii="Arial" w:hAnsi="Arial" w:cs="Arial"/>
        </w:rPr>
      </w:pPr>
      <w:smartTag w:uri="urn:schemas-microsoft-com:office:smarttags" w:element="City">
        <w:smartTag w:uri="urn:schemas-microsoft-com:office:smarttags" w:element="place">
          <w:r w:rsidRPr="00BD4565">
            <w:rPr>
              <w:rFonts w:ascii="Arial" w:hAnsi="Arial" w:cs="Arial"/>
            </w:rPr>
            <w:t>Hull</w:t>
          </w:r>
        </w:smartTag>
      </w:smartTag>
      <w:r w:rsidRPr="00BD4565">
        <w:rPr>
          <w:rFonts w:ascii="Arial" w:hAnsi="Arial" w:cs="Arial"/>
        </w:rPr>
        <w:t xml:space="preserve">, John C. </w:t>
      </w:r>
      <w:r w:rsidRPr="00BD4565">
        <w:rPr>
          <w:rFonts w:ascii="Arial" w:hAnsi="Arial" w:cs="Arial"/>
          <w:i/>
        </w:rPr>
        <w:t xml:space="preserve">Options, Futures, and Other Derivatives, </w:t>
      </w:r>
      <w:r w:rsidR="00377546">
        <w:rPr>
          <w:rFonts w:ascii="Arial" w:hAnsi="Arial" w:cs="Arial"/>
          <w:i/>
        </w:rPr>
        <w:t>11</w:t>
      </w:r>
      <w:r w:rsidRPr="00BD4565">
        <w:rPr>
          <w:rFonts w:ascii="Arial" w:hAnsi="Arial" w:cs="Arial"/>
          <w:i/>
          <w:vertAlign w:val="superscript"/>
        </w:rPr>
        <w:t>th</w:t>
      </w:r>
      <w:r w:rsidRPr="00BD4565">
        <w:rPr>
          <w:rFonts w:ascii="Arial" w:hAnsi="Arial" w:cs="Arial"/>
          <w:i/>
        </w:rPr>
        <w:t xml:space="preserve"> Edition</w:t>
      </w:r>
      <w:r w:rsidR="0025140A">
        <w:rPr>
          <w:rFonts w:ascii="Arial" w:hAnsi="Arial" w:cs="Arial"/>
        </w:rPr>
        <w:t xml:space="preserve"> </w:t>
      </w:r>
    </w:p>
    <w:p w:rsidR="00061F74" w:rsidRPr="00BD4565" w:rsidRDefault="00061F74" w:rsidP="00061F74">
      <w:pPr>
        <w:spacing w:after="0"/>
        <w:rPr>
          <w:rFonts w:ascii="Arial" w:hAnsi="Arial" w:cs="Arial"/>
        </w:rPr>
      </w:pPr>
    </w:p>
    <w:p w:rsidR="00061F74" w:rsidRDefault="00061F74" w:rsidP="00061F74">
      <w:pPr>
        <w:spacing w:after="0"/>
        <w:rPr>
          <w:rFonts w:ascii="Arial" w:hAnsi="Arial" w:cs="Arial"/>
          <w:b/>
        </w:rPr>
      </w:pPr>
      <w:r w:rsidRPr="00BD4565">
        <w:rPr>
          <w:rFonts w:ascii="Arial" w:hAnsi="Arial" w:cs="Arial"/>
          <w:b/>
        </w:rPr>
        <w:t>Assignments</w:t>
      </w:r>
    </w:p>
    <w:p w:rsidR="00061F74" w:rsidRPr="00BD4565" w:rsidRDefault="00061F74" w:rsidP="00061F74">
      <w:pPr>
        <w:spacing w:after="0"/>
        <w:rPr>
          <w:rFonts w:ascii="Arial" w:hAnsi="Arial" w:cs="Arial"/>
          <w:b/>
        </w:rPr>
      </w:pPr>
    </w:p>
    <w:p w:rsidR="00061F74" w:rsidRPr="00BD4565" w:rsidRDefault="00061F74" w:rsidP="00061F74">
      <w:pPr>
        <w:spacing w:after="0" w:line="240" w:lineRule="auto"/>
        <w:rPr>
          <w:rFonts w:ascii="Arial" w:hAnsi="Arial" w:cs="Arial"/>
        </w:rPr>
      </w:pPr>
      <w:r w:rsidRPr="00BD4565">
        <w:rPr>
          <w:rFonts w:ascii="Arial" w:hAnsi="Arial" w:cs="Arial"/>
        </w:rPr>
        <w:t>There are three hand-in assignments during the semester:</w:t>
      </w:r>
    </w:p>
    <w:p w:rsidR="00061F74" w:rsidRPr="00BD4565" w:rsidRDefault="00061F74" w:rsidP="00061F74">
      <w:pPr>
        <w:spacing w:after="0" w:line="240" w:lineRule="auto"/>
        <w:rPr>
          <w:rFonts w:ascii="Arial" w:hAnsi="Arial" w:cs="Arial"/>
        </w:rPr>
      </w:pPr>
      <w:r w:rsidRPr="00BD4565">
        <w:rPr>
          <w:rFonts w:ascii="Arial" w:hAnsi="Arial" w:cs="Arial"/>
        </w:rPr>
        <w:t>Assignment 1:</w:t>
      </w:r>
      <w:r w:rsidR="004806DB">
        <w:rPr>
          <w:rFonts w:ascii="Arial" w:hAnsi="Arial" w:cs="Arial"/>
        </w:rPr>
        <w:t xml:space="preserve"> </w:t>
      </w:r>
      <w:r w:rsidR="00377546">
        <w:rPr>
          <w:rFonts w:ascii="Arial" w:hAnsi="Arial" w:cs="Arial"/>
        </w:rPr>
        <w:t>1A, 1C, 2A, 2B, 3B, 3C, 4A, 4C</w:t>
      </w:r>
      <w:r>
        <w:rPr>
          <w:rFonts w:ascii="Arial" w:hAnsi="Arial" w:cs="Arial"/>
        </w:rPr>
        <w:t xml:space="preserve"> (due week 5)</w:t>
      </w:r>
    </w:p>
    <w:p w:rsidR="00061F74" w:rsidRPr="00BD4565" w:rsidRDefault="00061F74" w:rsidP="00061F74">
      <w:pPr>
        <w:spacing w:after="0" w:line="240" w:lineRule="auto"/>
        <w:rPr>
          <w:rFonts w:ascii="Arial" w:hAnsi="Arial" w:cs="Arial"/>
        </w:rPr>
      </w:pPr>
      <w:r w:rsidRPr="00BD4565">
        <w:rPr>
          <w:rFonts w:ascii="Arial" w:hAnsi="Arial" w:cs="Arial"/>
        </w:rPr>
        <w:t>Assignment 2</w:t>
      </w:r>
      <w:r w:rsidR="00E30743">
        <w:rPr>
          <w:rFonts w:ascii="Arial" w:hAnsi="Arial" w:cs="Arial"/>
        </w:rPr>
        <w:t xml:space="preserve">:  </w:t>
      </w:r>
      <w:r w:rsidR="00377546">
        <w:rPr>
          <w:rFonts w:ascii="Arial" w:hAnsi="Arial" w:cs="Arial"/>
        </w:rPr>
        <w:t>5B, 5C, 6C, 7A</w:t>
      </w:r>
      <w:r w:rsidR="00E30743">
        <w:rPr>
          <w:rFonts w:ascii="Arial" w:hAnsi="Arial" w:cs="Arial"/>
        </w:rPr>
        <w:t>, 7</w:t>
      </w:r>
      <w:r w:rsidR="00377546">
        <w:rPr>
          <w:rFonts w:ascii="Arial" w:hAnsi="Arial" w:cs="Arial"/>
        </w:rPr>
        <w:t>B</w:t>
      </w:r>
      <w:r>
        <w:rPr>
          <w:rFonts w:ascii="Arial" w:hAnsi="Arial" w:cs="Arial"/>
        </w:rPr>
        <w:t xml:space="preserve">, </w:t>
      </w:r>
      <w:r w:rsidR="00377546">
        <w:rPr>
          <w:rFonts w:ascii="Arial" w:hAnsi="Arial" w:cs="Arial"/>
        </w:rPr>
        <w:t>8B</w:t>
      </w:r>
      <w:r w:rsidR="005D0E72">
        <w:rPr>
          <w:rFonts w:ascii="Arial" w:hAnsi="Arial" w:cs="Arial"/>
        </w:rPr>
        <w:t xml:space="preserve">, </w:t>
      </w:r>
      <w:r w:rsidR="00377546">
        <w:rPr>
          <w:rFonts w:ascii="Arial" w:hAnsi="Arial" w:cs="Arial"/>
        </w:rPr>
        <w:t>9A, 10C</w:t>
      </w:r>
      <w:r w:rsidR="00F2534C">
        <w:rPr>
          <w:rFonts w:ascii="Arial" w:hAnsi="Arial" w:cs="Arial"/>
        </w:rPr>
        <w:t>, 11B</w:t>
      </w:r>
      <w:r w:rsidR="005D0E72">
        <w:rPr>
          <w:rFonts w:ascii="Arial" w:hAnsi="Arial" w:cs="Arial"/>
        </w:rPr>
        <w:t xml:space="preserve"> </w:t>
      </w:r>
      <w:r>
        <w:rPr>
          <w:rFonts w:ascii="Arial" w:hAnsi="Arial" w:cs="Arial"/>
        </w:rPr>
        <w:t>(due week 9)</w:t>
      </w:r>
    </w:p>
    <w:p w:rsidR="00061F74" w:rsidRPr="00BD4565" w:rsidRDefault="00061F74" w:rsidP="00061F74">
      <w:pPr>
        <w:spacing w:after="0" w:line="240" w:lineRule="auto"/>
        <w:rPr>
          <w:rFonts w:ascii="Arial" w:hAnsi="Arial" w:cs="Arial"/>
        </w:rPr>
      </w:pPr>
      <w:r w:rsidRPr="00BD4565">
        <w:rPr>
          <w:rFonts w:ascii="Arial" w:hAnsi="Arial" w:cs="Arial"/>
        </w:rPr>
        <w:t>Assignment 3</w:t>
      </w:r>
      <w:r w:rsidR="00F2534C">
        <w:rPr>
          <w:rFonts w:ascii="Arial" w:hAnsi="Arial" w:cs="Arial"/>
        </w:rPr>
        <w:t>: 12B</w:t>
      </w:r>
      <w:r>
        <w:rPr>
          <w:rFonts w:ascii="Arial" w:hAnsi="Arial" w:cs="Arial"/>
        </w:rPr>
        <w:t>,</w:t>
      </w:r>
      <w:r w:rsidR="00F2534C">
        <w:rPr>
          <w:rFonts w:ascii="Arial" w:hAnsi="Arial" w:cs="Arial"/>
        </w:rPr>
        <w:t xml:space="preserve"> 13B</w:t>
      </w:r>
      <w:r>
        <w:rPr>
          <w:rFonts w:ascii="Arial" w:hAnsi="Arial" w:cs="Arial"/>
        </w:rPr>
        <w:t>,</w:t>
      </w:r>
      <w:r w:rsidR="00F2534C">
        <w:rPr>
          <w:rFonts w:ascii="Arial" w:hAnsi="Arial" w:cs="Arial"/>
        </w:rPr>
        <w:t xml:space="preserve"> 15B</w:t>
      </w:r>
      <w:r>
        <w:rPr>
          <w:rFonts w:ascii="Arial" w:hAnsi="Arial" w:cs="Arial"/>
        </w:rPr>
        <w:t>,</w:t>
      </w:r>
      <w:r w:rsidR="00214412">
        <w:rPr>
          <w:rFonts w:ascii="Arial" w:hAnsi="Arial" w:cs="Arial"/>
        </w:rPr>
        <w:t xml:space="preserve"> </w:t>
      </w:r>
      <w:r w:rsidR="00F2534C">
        <w:rPr>
          <w:rFonts w:ascii="Arial" w:hAnsi="Arial" w:cs="Arial"/>
        </w:rPr>
        <w:t>15C</w:t>
      </w:r>
      <w:r>
        <w:rPr>
          <w:rFonts w:ascii="Arial" w:hAnsi="Arial" w:cs="Arial"/>
        </w:rPr>
        <w:t>,</w:t>
      </w:r>
      <w:r w:rsidR="00B96AD1">
        <w:rPr>
          <w:rFonts w:ascii="Arial" w:hAnsi="Arial" w:cs="Arial"/>
        </w:rPr>
        <w:t xml:space="preserve"> </w:t>
      </w:r>
      <w:r w:rsidR="00F2534C">
        <w:rPr>
          <w:rFonts w:ascii="Arial" w:hAnsi="Arial" w:cs="Arial"/>
        </w:rPr>
        <w:t>16A</w:t>
      </w:r>
      <w:r w:rsidR="00BE77C8">
        <w:rPr>
          <w:rFonts w:ascii="Arial" w:hAnsi="Arial" w:cs="Arial"/>
        </w:rPr>
        <w:t>,</w:t>
      </w:r>
      <w:r w:rsidR="00B96AD1">
        <w:rPr>
          <w:rFonts w:ascii="Arial" w:hAnsi="Arial" w:cs="Arial"/>
        </w:rPr>
        <w:t xml:space="preserve"> </w:t>
      </w:r>
      <w:r w:rsidR="00F2534C">
        <w:rPr>
          <w:rFonts w:ascii="Arial" w:hAnsi="Arial" w:cs="Arial"/>
        </w:rPr>
        <w:t>17A</w:t>
      </w:r>
      <w:r w:rsidR="00BE77C8">
        <w:rPr>
          <w:rFonts w:ascii="Arial" w:hAnsi="Arial" w:cs="Arial"/>
        </w:rPr>
        <w:t>,</w:t>
      </w:r>
      <w:r w:rsidR="00B96AD1">
        <w:rPr>
          <w:rFonts w:ascii="Arial" w:hAnsi="Arial" w:cs="Arial"/>
        </w:rPr>
        <w:t xml:space="preserve"> </w:t>
      </w:r>
      <w:r w:rsidR="00F2534C">
        <w:rPr>
          <w:rFonts w:ascii="Arial" w:hAnsi="Arial" w:cs="Arial"/>
        </w:rPr>
        <w:t>17B</w:t>
      </w:r>
      <w:r w:rsidR="00BE77C8">
        <w:rPr>
          <w:rFonts w:ascii="Arial" w:hAnsi="Arial" w:cs="Arial"/>
        </w:rPr>
        <w:t>,</w:t>
      </w:r>
      <w:r w:rsidR="00B96AD1">
        <w:rPr>
          <w:rFonts w:ascii="Arial" w:hAnsi="Arial" w:cs="Arial"/>
        </w:rPr>
        <w:t xml:space="preserve"> </w:t>
      </w:r>
      <w:r w:rsidR="00F2534C">
        <w:rPr>
          <w:rFonts w:ascii="Arial" w:hAnsi="Arial" w:cs="Arial"/>
        </w:rPr>
        <w:t>18A</w:t>
      </w:r>
      <w:r w:rsidR="00D265E4">
        <w:rPr>
          <w:rFonts w:ascii="Arial" w:hAnsi="Arial" w:cs="Arial"/>
        </w:rPr>
        <w:t>,</w:t>
      </w:r>
      <w:r w:rsidR="00B96AD1">
        <w:rPr>
          <w:rFonts w:ascii="Arial" w:hAnsi="Arial" w:cs="Arial"/>
        </w:rPr>
        <w:t xml:space="preserve"> </w:t>
      </w:r>
      <w:r w:rsidR="00F2534C">
        <w:rPr>
          <w:rFonts w:ascii="Arial" w:hAnsi="Arial" w:cs="Arial"/>
        </w:rPr>
        <w:t>19A</w:t>
      </w:r>
      <w:r w:rsidR="00BE77C8">
        <w:rPr>
          <w:rFonts w:ascii="Arial" w:hAnsi="Arial" w:cs="Arial"/>
        </w:rPr>
        <w:t>,</w:t>
      </w:r>
      <w:r w:rsidR="00B96AD1">
        <w:rPr>
          <w:rFonts w:ascii="Arial" w:hAnsi="Arial" w:cs="Arial"/>
        </w:rPr>
        <w:t xml:space="preserve"> </w:t>
      </w:r>
      <w:r w:rsidR="00F2534C">
        <w:rPr>
          <w:rFonts w:ascii="Arial" w:hAnsi="Arial" w:cs="Arial"/>
        </w:rPr>
        <w:t>19B</w:t>
      </w:r>
      <w:r w:rsidR="00BE77C8">
        <w:rPr>
          <w:rFonts w:ascii="Arial" w:hAnsi="Arial" w:cs="Arial"/>
        </w:rPr>
        <w:t>,</w:t>
      </w:r>
      <w:r w:rsidR="00B96AD1">
        <w:rPr>
          <w:rFonts w:ascii="Arial" w:hAnsi="Arial" w:cs="Arial"/>
        </w:rPr>
        <w:t xml:space="preserve"> </w:t>
      </w:r>
      <w:r w:rsidR="00F2534C">
        <w:rPr>
          <w:rFonts w:ascii="Arial" w:hAnsi="Arial" w:cs="Arial"/>
        </w:rPr>
        <w:t>20A (due week 15</w:t>
      </w:r>
      <w:r>
        <w:rPr>
          <w:rFonts w:ascii="Arial" w:hAnsi="Arial" w:cs="Arial"/>
        </w:rPr>
        <w:t xml:space="preserve">)     </w:t>
      </w:r>
    </w:p>
    <w:p w:rsidR="00061F74" w:rsidRPr="00BD4565" w:rsidRDefault="00061F74" w:rsidP="00061F74">
      <w:pPr>
        <w:spacing w:after="0" w:line="240" w:lineRule="auto"/>
        <w:rPr>
          <w:rFonts w:ascii="Arial" w:hAnsi="Arial" w:cs="Arial"/>
        </w:rPr>
      </w:pPr>
    </w:p>
    <w:p w:rsidR="00061F74" w:rsidRDefault="00061F74" w:rsidP="00061F74">
      <w:pPr>
        <w:spacing w:after="0"/>
        <w:rPr>
          <w:rFonts w:ascii="Arial" w:hAnsi="Arial" w:cs="Arial"/>
          <w:b/>
        </w:rPr>
      </w:pPr>
      <w:r w:rsidRPr="00BD4565">
        <w:rPr>
          <w:rFonts w:ascii="Arial" w:hAnsi="Arial" w:cs="Arial"/>
          <w:b/>
        </w:rPr>
        <w:t>Assessment</w:t>
      </w:r>
    </w:p>
    <w:p w:rsidR="00061F74" w:rsidRPr="00BD4565" w:rsidRDefault="00061F74" w:rsidP="00061F74">
      <w:pPr>
        <w:spacing w:after="0"/>
        <w:rPr>
          <w:rFonts w:ascii="Arial" w:hAnsi="Arial" w:cs="Arial"/>
          <w:b/>
        </w:rPr>
      </w:pPr>
    </w:p>
    <w:tbl>
      <w:tblPr>
        <w:tblW w:w="0" w:type="auto"/>
        <w:tblLook w:val="04A0" w:firstRow="1" w:lastRow="0" w:firstColumn="1" w:lastColumn="0" w:noHBand="0" w:noVBand="1"/>
      </w:tblPr>
      <w:tblGrid>
        <w:gridCol w:w="1908"/>
        <w:gridCol w:w="1260"/>
      </w:tblGrid>
      <w:tr w:rsidR="00061F74" w:rsidRPr="00952BC7" w:rsidTr="00882061">
        <w:tc>
          <w:tcPr>
            <w:tcW w:w="1908" w:type="dxa"/>
          </w:tcPr>
          <w:p w:rsidR="00061F74" w:rsidRPr="00952BC7" w:rsidRDefault="00061F74" w:rsidP="00882061">
            <w:pPr>
              <w:spacing w:after="0" w:line="240" w:lineRule="auto"/>
              <w:rPr>
                <w:rFonts w:ascii="Arial" w:hAnsi="Arial" w:cs="Arial"/>
              </w:rPr>
            </w:pPr>
            <w:r w:rsidRPr="00952BC7">
              <w:rPr>
                <w:rFonts w:ascii="Arial" w:hAnsi="Arial" w:cs="Arial"/>
              </w:rPr>
              <w:t>Assignment 1</w:t>
            </w:r>
          </w:p>
        </w:tc>
        <w:tc>
          <w:tcPr>
            <w:tcW w:w="1260" w:type="dxa"/>
          </w:tcPr>
          <w:p w:rsidR="00061F74" w:rsidRPr="00952BC7" w:rsidRDefault="00061F74" w:rsidP="00882061">
            <w:pPr>
              <w:spacing w:after="0" w:line="240" w:lineRule="auto"/>
              <w:rPr>
                <w:rFonts w:ascii="Arial" w:hAnsi="Arial" w:cs="Arial"/>
              </w:rPr>
            </w:pPr>
            <w:r w:rsidRPr="00952BC7">
              <w:rPr>
                <w:rFonts w:ascii="Arial" w:hAnsi="Arial" w:cs="Arial"/>
              </w:rPr>
              <w:t>15%</w:t>
            </w:r>
          </w:p>
        </w:tc>
      </w:tr>
      <w:tr w:rsidR="00061F74" w:rsidRPr="00952BC7" w:rsidTr="00882061">
        <w:tc>
          <w:tcPr>
            <w:tcW w:w="1908" w:type="dxa"/>
          </w:tcPr>
          <w:p w:rsidR="00061F74" w:rsidRPr="00952BC7" w:rsidRDefault="00061F74" w:rsidP="00882061">
            <w:pPr>
              <w:spacing w:after="0" w:line="240" w:lineRule="auto"/>
              <w:rPr>
                <w:rFonts w:ascii="Arial" w:hAnsi="Arial" w:cs="Arial"/>
              </w:rPr>
            </w:pPr>
            <w:r w:rsidRPr="00952BC7">
              <w:rPr>
                <w:rFonts w:ascii="Arial" w:hAnsi="Arial" w:cs="Arial"/>
              </w:rPr>
              <w:t>Assignment 2</w:t>
            </w:r>
          </w:p>
        </w:tc>
        <w:tc>
          <w:tcPr>
            <w:tcW w:w="1260" w:type="dxa"/>
          </w:tcPr>
          <w:p w:rsidR="00061F74" w:rsidRPr="00952BC7" w:rsidRDefault="00061F74" w:rsidP="00882061">
            <w:pPr>
              <w:spacing w:after="0" w:line="240" w:lineRule="auto"/>
              <w:rPr>
                <w:rFonts w:ascii="Arial" w:hAnsi="Arial" w:cs="Arial"/>
              </w:rPr>
            </w:pPr>
            <w:r w:rsidRPr="00952BC7">
              <w:rPr>
                <w:rFonts w:ascii="Arial" w:hAnsi="Arial" w:cs="Arial"/>
              </w:rPr>
              <w:t>15%</w:t>
            </w:r>
          </w:p>
        </w:tc>
      </w:tr>
      <w:tr w:rsidR="00061F74" w:rsidRPr="00952BC7" w:rsidTr="00882061">
        <w:tc>
          <w:tcPr>
            <w:tcW w:w="1908" w:type="dxa"/>
          </w:tcPr>
          <w:p w:rsidR="00061F74" w:rsidRPr="00952BC7" w:rsidRDefault="00061F74" w:rsidP="00882061">
            <w:pPr>
              <w:spacing w:after="0" w:line="240" w:lineRule="auto"/>
              <w:rPr>
                <w:rFonts w:ascii="Arial" w:hAnsi="Arial" w:cs="Arial"/>
              </w:rPr>
            </w:pPr>
            <w:r w:rsidRPr="00952BC7">
              <w:rPr>
                <w:rFonts w:ascii="Arial" w:hAnsi="Arial" w:cs="Arial"/>
              </w:rPr>
              <w:t>Assignment 3</w:t>
            </w:r>
          </w:p>
        </w:tc>
        <w:tc>
          <w:tcPr>
            <w:tcW w:w="1260" w:type="dxa"/>
          </w:tcPr>
          <w:p w:rsidR="00061F74" w:rsidRPr="00952BC7" w:rsidRDefault="00061F74" w:rsidP="00882061">
            <w:pPr>
              <w:spacing w:after="0" w:line="240" w:lineRule="auto"/>
              <w:rPr>
                <w:rFonts w:ascii="Arial" w:hAnsi="Arial" w:cs="Arial"/>
              </w:rPr>
            </w:pPr>
            <w:r w:rsidRPr="00952BC7">
              <w:rPr>
                <w:rFonts w:ascii="Arial" w:hAnsi="Arial" w:cs="Arial"/>
              </w:rPr>
              <w:t>20%</w:t>
            </w:r>
          </w:p>
        </w:tc>
      </w:tr>
      <w:tr w:rsidR="00061F74" w:rsidRPr="00952BC7" w:rsidTr="00882061">
        <w:tc>
          <w:tcPr>
            <w:tcW w:w="1908" w:type="dxa"/>
          </w:tcPr>
          <w:p w:rsidR="00061F74" w:rsidRPr="00952BC7" w:rsidRDefault="00061F74" w:rsidP="00882061">
            <w:pPr>
              <w:spacing w:after="0" w:line="240" w:lineRule="auto"/>
              <w:rPr>
                <w:rFonts w:ascii="Arial" w:hAnsi="Arial" w:cs="Arial"/>
              </w:rPr>
            </w:pPr>
            <w:r w:rsidRPr="00952BC7">
              <w:rPr>
                <w:rFonts w:ascii="Arial" w:hAnsi="Arial" w:cs="Arial"/>
              </w:rPr>
              <w:t>Final Exam</w:t>
            </w:r>
          </w:p>
        </w:tc>
        <w:tc>
          <w:tcPr>
            <w:tcW w:w="1260" w:type="dxa"/>
          </w:tcPr>
          <w:p w:rsidR="00061F74" w:rsidRPr="00952BC7" w:rsidRDefault="00061F74" w:rsidP="00882061">
            <w:pPr>
              <w:spacing w:after="0" w:line="240" w:lineRule="auto"/>
              <w:rPr>
                <w:rFonts w:ascii="Arial" w:hAnsi="Arial" w:cs="Arial"/>
              </w:rPr>
            </w:pPr>
            <w:r w:rsidRPr="00952BC7">
              <w:rPr>
                <w:rFonts w:ascii="Arial" w:hAnsi="Arial" w:cs="Arial"/>
              </w:rPr>
              <w:t>50%</w:t>
            </w:r>
          </w:p>
        </w:tc>
      </w:tr>
    </w:tbl>
    <w:p w:rsidR="00061F74" w:rsidRDefault="00061F74" w:rsidP="00061F74">
      <w:pPr>
        <w:spacing w:after="0" w:line="240" w:lineRule="auto"/>
        <w:rPr>
          <w:rFonts w:ascii="Arial" w:hAnsi="Arial" w:cs="Arial"/>
          <w:iCs/>
        </w:rPr>
      </w:pPr>
    </w:p>
    <w:p w:rsidR="00061F74" w:rsidRPr="00BD4565" w:rsidRDefault="00061F74" w:rsidP="00061F74">
      <w:pPr>
        <w:spacing w:after="0" w:line="240" w:lineRule="auto"/>
        <w:rPr>
          <w:rFonts w:ascii="Arial" w:hAnsi="Arial" w:cs="Arial"/>
          <w:iCs/>
        </w:rPr>
      </w:pPr>
      <w:r w:rsidRPr="00BD4565">
        <w:rPr>
          <w:rFonts w:ascii="Arial" w:hAnsi="Arial" w:cs="Arial"/>
          <w:iCs/>
        </w:rPr>
        <w:t>The final examination will not be open book. You will be permitted a two-sided “cheat</w:t>
      </w:r>
    </w:p>
    <w:p w:rsidR="00061F74" w:rsidRPr="00BD4565" w:rsidRDefault="00061F74" w:rsidP="00061F74">
      <w:pPr>
        <w:spacing w:after="0" w:line="240" w:lineRule="auto"/>
        <w:rPr>
          <w:rFonts w:ascii="Arial" w:hAnsi="Arial" w:cs="Arial"/>
          <w:iCs/>
        </w:rPr>
      </w:pPr>
      <w:proofErr w:type="gramStart"/>
      <w:r w:rsidRPr="00BD4565">
        <w:rPr>
          <w:rFonts w:ascii="Arial" w:hAnsi="Arial" w:cs="Arial"/>
          <w:iCs/>
        </w:rPr>
        <w:t>sheet</w:t>
      </w:r>
      <w:proofErr w:type="gramEnd"/>
      <w:r w:rsidRPr="00BD4565">
        <w:rPr>
          <w:rFonts w:ascii="Arial" w:hAnsi="Arial" w:cs="Arial"/>
          <w:iCs/>
        </w:rPr>
        <w:t>” with notes and/or formulae.</w:t>
      </w:r>
    </w:p>
    <w:p w:rsidR="00061F74" w:rsidRPr="00BD4565" w:rsidRDefault="00061F74" w:rsidP="00061F74">
      <w:pPr>
        <w:spacing w:after="0" w:line="240" w:lineRule="auto"/>
        <w:rPr>
          <w:rFonts w:ascii="Arial" w:hAnsi="Arial" w:cs="Arial"/>
          <w:b/>
        </w:rPr>
      </w:pPr>
    </w:p>
    <w:p w:rsidR="00061F74" w:rsidRPr="00BD4565" w:rsidRDefault="00061F74" w:rsidP="00061F74">
      <w:pPr>
        <w:spacing w:after="0"/>
        <w:rPr>
          <w:rFonts w:ascii="Arial" w:hAnsi="Arial" w:cs="Arial"/>
          <w:b/>
        </w:rPr>
      </w:pPr>
      <w:r w:rsidRPr="00BD4565">
        <w:rPr>
          <w:rFonts w:ascii="Arial" w:hAnsi="Arial" w:cs="Arial"/>
          <w:b/>
        </w:rPr>
        <w:t>Schedule</w:t>
      </w:r>
    </w:p>
    <w:tbl>
      <w:tblPr>
        <w:tblW w:w="0" w:type="auto"/>
        <w:tblLook w:val="04A0" w:firstRow="1" w:lastRow="0" w:firstColumn="1" w:lastColumn="0" w:noHBand="0" w:noVBand="1"/>
      </w:tblPr>
      <w:tblGrid>
        <w:gridCol w:w="1350"/>
        <w:gridCol w:w="8010"/>
      </w:tblGrid>
      <w:tr w:rsidR="00061F74" w:rsidRPr="00952BC7" w:rsidTr="00882061">
        <w:tc>
          <w:tcPr>
            <w:tcW w:w="1368" w:type="dxa"/>
          </w:tcPr>
          <w:p w:rsidR="00061F74" w:rsidRPr="00952BC7" w:rsidRDefault="00061F74" w:rsidP="00882061">
            <w:pPr>
              <w:spacing w:after="0" w:line="240" w:lineRule="auto"/>
              <w:rPr>
                <w:rFonts w:ascii="Arial" w:hAnsi="Arial" w:cs="Arial"/>
              </w:rPr>
            </w:pPr>
            <w:r w:rsidRPr="00952BC7">
              <w:rPr>
                <w:rFonts w:ascii="Arial" w:hAnsi="Arial" w:cs="Arial"/>
              </w:rPr>
              <w:t>Week 1:</w:t>
            </w:r>
          </w:p>
        </w:tc>
        <w:tc>
          <w:tcPr>
            <w:tcW w:w="8208" w:type="dxa"/>
          </w:tcPr>
          <w:p w:rsidR="00061F74" w:rsidRPr="00952BC7" w:rsidRDefault="00061F74" w:rsidP="003174CF">
            <w:pPr>
              <w:spacing w:after="0" w:line="240" w:lineRule="auto"/>
              <w:rPr>
                <w:rFonts w:ascii="Arial" w:hAnsi="Arial" w:cs="Arial"/>
              </w:rPr>
            </w:pPr>
            <w:r w:rsidRPr="00952BC7">
              <w:rPr>
                <w:rFonts w:ascii="Arial" w:hAnsi="Arial" w:cs="Arial"/>
              </w:rPr>
              <w:t>Introduction</w:t>
            </w:r>
            <w:r w:rsidR="00D265E4">
              <w:rPr>
                <w:rFonts w:ascii="Arial" w:hAnsi="Arial" w:cs="Arial"/>
              </w:rPr>
              <w:t xml:space="preserve"> and</w:t>
            </w:r>
            <w:r w:rsidR="006C57AD">
              <w:rPr>
                <w:rFonts w:ascii="Arial" w:hAnsi="Arial" w:cs="Arial"/>
              </w:rPr>
              <w:t xml:space="preserve"> </w:t>
            </w:r>
            <w:r w:rsidR="003174CF">
              <w:rPr>
                <w:rFonts w:ascii="Arial" w:hAnsi="Arial" w:cs="Arial"/>
              </w:rPr>
              <w:t>M</w:t>
            </w:r>
            <w:r w:rsidR="006C57AD">
              <w:rPr>
                <w:rFonts w:ascii="Arial" w:hAnsi="Arial" w:cs="Arial"/>
              </w:rPr>
              <w:t xml:space="preserve">echanics of  </w:t>
            </w:r>
            <w:r w:rsidR="003174CF">
              <w:rPr>
                <w:rFonts w:ascii="Arial" w:hAnsi="Arial" w:cs="Arial"/>
              </w:rPr>
              <w:t>F</w:t>
            </w:r>
            <w:r w:rsidR="00D265E4">
              <w:rPr>
                <w:rFonts w:ascii="Arial" w:hAnsi="Arial" w:cs="Arial"/>
              </w:rPr>
              <w:t>utures Markets</w:t>
            </w:r>
            <w:r w:rsidRPr="00952BC7">
              <w:rPr>
                <w:rFonts w:ascii="Arial" w:hAnsi="Arial" w:cs="Arial"/>
              </w:rPr>
              <w:t>; Chapter</w:t>
            </w:r>
            <w:r w:rsidR="004806DB">
              <w:rPr>
                <w:rFonts w:ascii="Arial" w:hAnsi="Arial" w:cs="Arial"/>
              </w:rPr>
              <w:t>s</w:t>
            </w:r>
            <w:r w:rsidRPr="00952BC7">
              <w:rPr>
                <w:rFonts w:ascii="Arial" w:hAnsi="Arial" w:cs="Arial"/>
              </w:rPr>
              <w:t xml:space="preserve"> 1</w:t>
            </w:r>
            <w:r w:rsidR="004806DB">
              <w:rPr>
                <w:rFonts w:ascii="Arial" w:hAnsi="Arial" w:cs="Arial"/>
              </w:rPr>
              <w:t xml:space="preserve"> and 2</w:t>
            </w:r>
          </w:p>
        </w:tc>
      </w:tr>
      <w:tr w:rsidR="00061F74" w:rsidRPr="00952BC7" w:rsidTr="00882061">
        <w:tc>
          <w:tcPr>
            <w:tcW w:w="1368" w:type="dxa"/>
          </w:tcPr>
          <w:p w:rsidR="00061F74" w:rsidRPr="00952BC7" w:rsidRDefault="00061F74" w:rsidP="00882061">
            <w:pPr>
              <w:spacing w:after="0" w:line="240" w:lineRule="auto"/>
              <w:rPr>
                <w:rFonts w:ascii="Arial" w:hAnsi="Arial" w:cs="Arial"/>
              </w:rPr>
            </w:pPr>
            <w:r w:rsidRPr="00952BC7">
              <w:rPr>
                <w:rFonts w:ascii="Arial" w:hAnsi="Arial" w:cs="Arial"/>
              </w:rPr>
              <w:t>Week 2:</w:t>
            </w:r>
          </w:p>
        </w:tc>
        <w:tc>
          <w:tcPr>
            <w:tcW w:w="8208" w:type="dxa"/>
          </w:tcPr>
          <w:p w:rsidR="00061F74" w:rsidRPr="00952BC7" w:rsidRDefault="00D265E4" w:rsidP="003174CF">
            <w:pPr>
              <w:spacing w:after="0" w:line="240" w:lineRule="auto"/>
              <w:rPr>
                <w:rFonts w:ascii="Arial" w:hAnsi="Arial" w:cs="Arial"/>
              </w:rPr>
            </w:pPr>
            <w:r w:rsidRPr="00952BC7">
              <w:rPr>
                <w:rFonts w:ascii="Arial" w:hAnsi="Arial" w:cs="Arial"/>
              </w:rPr>
              <w:t xml:space="preserve">Hedging </w:t>
            </w:r>
            <w:r w:rsidR="003174CF">
              <w:rPr>
                <w:rFonts w:ascii="Arial" w:hAnsi="Arial" w:cs="Arial"/>
              </w:rPr>
              <w:t>S</w:t>
            </w:r>
            <w:r w:rsidRPr="00952BC7">
              <w:rPr>
                <w:rFonts w:ascii="Arial" w:hAnsi="Arial" w:cs="Arial"/>
              </w:rPr>
              <w:t xml:space="preserve">trategies </w:t>
            </w:r>
            <w:r w:rsidR="003174CF">
              <w:rPr>
                <w:rFonts w:ascii="Arial" w:hAnsi="Arial" w:cs="Arial"/>
              </w:rPr>
              <w:t>U</w:t>
            </w:r>
            <w:r w:rsidRPr="00952BC7">
              <w:rPr>
                <w:rFonts w:ascii="Arial" w:hAnsi="Arial" w:cs="Arial"/>
              </w:rPr>
              <w:t xml:space="preserve">sing </w:t>
            </w:r>
            <w:r w:rsidR="003174CF">
              <w:rPr>
                <w:rFonts w:ascii="Arial" w:hAnsi="Arial" w:cs="Arial"/>
              </w:rPr>
              <w:t>F</w:t>
            </w:r>
            <w:r w:rsidRPr="00952BC7">
              <w:rPr>
                <w:rFonts w:ascii="Arial" w:hAnsi="Arial" w:cs="Arial"/>
              </w:rPr>
              <w:t>utures; Chapter 3</w:t>
            </w:r>
          </w:p>
        </w:tc>
      </w:tr>
      <w:tr w:rsidR="00061F74" w:rsidRPr="00952BC7" w:rsidTr="00882061">
        <w:tc>
          <w:tcPr>
            <w:tcW w:w="1368" w:type="dxa"/>
          </w:tcPr>
          <w:p w:rsidR="00061F74" w:rsidRPr="00952BC7" w:rsidRDefault="00061F74" w:rsidP="00882061">
            <w:pPr>
              <w:spacing w:after="0" w:line="240" w:lineRule="auto"/>
              <w:rPr>
                <w:rFonts w:ascii="Arial" w:hAnsi="Arial" w:cs="Arial"/>
              </w:rPr>
            </w:pPr>
            <w:r w:rsidRPr="00952BC7">
              <w:rPr>
                <w:rFonts w:ascii="Arial" w:hAnsi="Arial" w:cs="Arial"/>
              </w:rPr>
              <w:t>Week 3:</w:t>
            </w:r>
          </w:p>
        </w:tc>
        <w:tc>
          <w:tcPr>
            <w:tcW w:w="8208" w:type="dxa"/>
          </w:tcPr>
          <w:p w:rsidR="00061F74" w:rsidRPr="00952BC7" w:rsidRDefault="00D265E4" w:rsidP="00882061">
            <w:pPr>
              <w:spacing w:after="0" w:line="240" w:lineRule="auto"/>
              <w:rPr>
                <w:rFonts w:ascii="Arial" w:hAnsi="Arial" w:cs="Arial"/>
              </w:rPr>
            </w:pPr>
            <w:r w:rsidRPr="00952BC7">
              <w:rPr>
                <w:rFonts w:ascii="Arial" w:hAnsi="Arial" w:cs="Arial"/>
              </w:rPr>
              <w:t xml:space="preserve">Interest </w:t>
            </w:r>
            <w:r w:rsidR="003174CF">
              <w:rPr>
                <w:rFonts w:ascii="Arial" w:hAnsi="Arial" w:cs="Arial"/>
              </w:rPr>
              <w:t>R</w:t>
            </w:r>
            <w:r w:rsidRPr="00952BC7">
              <w:rPr>
                <w:rFonts w:ascii="Arial" w:hAnsi="Arial" w:cs="Arial"/>
              </w:rPr>
              <w:t>ates; Chapter 4</w:t>
            </w:r>
          </w:p>
        </w:tc>
      </w:tr>
      <w:tr w:rsidR="00D265E4" w:rsidRPr="00952BC7" w:rsidTr="00882061">
        <w:tc>
          <w:tcPr>
            <w:tcW w:w="1368" w:type="dxa"/>
          </w:tcPr>
          <w:p w:rsidR="00D265E4" w:rsidRPr="00952BC7" w:rsidRDefault="00D265E4" w:rsidP="00882061">
            <w:pPr>
              <w:spacing w:after="0" w:line="240" w:lineRule="auto"/>
              <w:rPr>
                <w:rFonts w:ascii="Arial" w:hAnsi="Arial" w:cs="Arial"/>
              </w:rPr>
            </w:pPr>
            <w:r w:rsidRPr="00952BC7">
              <w:rPr>
                <w:rFonts w:ascii="Arial" w:hAnsi="Arial" w:cs="Arial"/>
              </w:rPr>
              <w:t>Week 4:</w:t>
            </w:r>
          </w:p>
        </w:tc>
        <w:tc>
          <w:tcPr>
            <w:tcW w:w="8208" w:type="dxa"/>
          </w:tcPr>
          <w:p w:rsidR="00D265E4" w:rsidRPr="00952BC7" w:rsidRDefault="00D265E4" w:rsidP="003174CF">
            <w:pPr>
              <w:spacing w:after="0" w:line="240" w:lineRule="auto"/>
              <w:rPr>
                <w:rFonts w:ascii="Arial" w:hAnsi="Arial" w:cs="Arial"/>
              </w:rPr>
            </w:pPr>
            <w:r w:rsidRPr="00952BC7">
              <w:rPr>
                <w:rFonts w:ascii="Arial" w:hAnsi="Arial" w:cs="Arial"/>
              </w:rPr>
              <w:t xml:space="preserve">Determination of </w:t>
            </w:r>
            <w:r w:rsidR="003174CF">
              <w:rPr>
                <w:rFonts w:ascii="Arial" w:hAnsi="Arial" w:cs="Arial"/>
              </w:rPr>
              <w:t>F</w:t>
            </w:r>
            <w:r w:rsidRPr="00952BC7">
              <w:rPr>
                <w:rFonts w:ascii="Arial" w:hAnsi="Arial" w:cs="Arial"/>
              </w:rPr>
              <w:t xml:space="preserve">orward and </w:t>
            </w:r>
            <w:r w:rsidR="003174CF">
              <w:rPr>
                <w:rFonts w:ascii="Arial" w:hAnsi="Arial" w:cs="Arial"/>
              </w:rPr>
              <w:t>F</w:t>
            </w:r>
            <w:r w:rsidRPr="00952BC7">
              <w:rPr>
                <w:rFonts w:ascii="Arial" w:hAnsi="Arial" w:cs="Arial"/>
              </w:rPr>
              <w:t xml:space="preserve">utures </w:t>
            </w:r>
            <w:r w:rsidR="003174CF">
              <w:rPr>
                <w:rFonts w:ascii="Arial" w:hAnsi="Arial" w:cs="Arial"/>
              </w:rPr>
              <w:t>P</w:t>
            </w:r>
            <w:r w:rsidRPr="00952BC7">
              <w:rPr>
                <w:rFonts w:ascii="Arial" w:hAnsi="Arial" w:cs="Arial"/>
              </w:rPr>
              <w:t>rices; Chapter 5</w:t>
            </w:r>
          </w:p>
        </w:tc>
      </w:tr>
      <w:tr w:rsidR="00D265E4" w:rsidRPr="00952BC7" w:rsidTr="00882061">
        <w:tc>
          <w:tcPr>
            <w:tcW w:w="1368" w:type="dxa"/>
          </w:tcPr>
          <w:p w:rsidR="00D265E4" w:rsidRPr="00952BC7" w:rsidRDefault="00D265E4" w:rsidP="00882061">
            <w:pPr>
              <w:spacing w:after="0" w:line="240" w:lineRule="auto"/>
              <w:rPr>
                <w:rFonts w:ascii="Arial" w:hAnsi="Arial" w:cs="Arial"/>
              </w:rPr>
            </w:pPr>
            <w:r w:rsidRPr="00952BC7">
              <w:rPr>
                <w:rFonts w:ascii="Arial" w:hAnsi="Arial" w:cs="Arial"/>
              </w:rPr>
              <w:t>Week 5:</w:t>
            </w:r>
          </w:p>
        </w:tc>
        <w:tc>
          <w:tcPr>
            <w:tcW w:w="8208" w:type="dxa"/>
          </w:tcPr>
          <w:p w:rsidR="00D265E4" w:rsidRPr="00952BC7" w:rsidRDefault="00D265E4" w:rsidP="003174CF">
            <w:pPr>
              <w:spacing w:after="0" w:line="240" w:lineRule="auto"/>
              <w:rPr>
                <w:rFonts w:ascii="Arial" w:hAnsi="Arial" w:cs="Arial"/>
              </w:rPr>
            </w:pPr>
            <w:r w:rsidRPr="00952BC7">
              <w:rPr>
                <w:rFonts w:ascii="Arial" w:hAnsi="Arial" w:cs="Arial"/>
              </w:rPr>
              <w:t xml:space="preserve">Interest </w:t>
            </w:r>
            <w:r w:rsidR="003174CF">
              <w:rPr>
                <w:rFonts w:ascii="Arial" w:hAnsi="Arial" w:cs="Arial"/>
              </w:rPr>
              <w:t>R</w:t>
            </w:r>
            <w:r w:rsidRPr="00952BC7">
              <w:rPr>
                <w:rFonts w:ascii="Arial" w:hAnsi="Arial" w:cs="Arial"/>
              </w:rPr>
              <w:t xml:space="preserve">ate </w:t>
            </w:r>
            <w:r w:rsidR="003174CF">
              <w:rPr>
                <w:rFonts w:ascii="Arial" w:hAnsi="Arial" w:cs="Arial"/>
              </w:rPr>
              <w:t>F</w:t>
            </w:r>
            <w:r w:rsidRPr="00952BC7">
              <w:rPr>
                <w:rFonts w:ascii="Arial" w:hAnsi="Arial" w:cs="Arial"/>
              </w:rPr>
              <w:t>utures; Chapter 6</w:t>
            </w:r>
          </w:p>
        </w:tc>
      </w:tr>
      <w:tr w:rsidR="00D265E4" w:rsidRPr="00952BC7" w:rsidTr="00882061">
        <w:tc>
          <w:tcPr>
            <w:tcW w:w="1368" w:type="dxa"/>
          </w:tcPr>
          <w:p w:rsidR="00D265E4" w:rsidRPr="00952BC7" w:rsidRDefault="00D265E4" w:rsidP="00882061">
            <w:pPr>
              <w:spacing w:after="0" w:line="240" w:lineRule="auto"/>
              <w:rPr>
                <w:rFonts w:ascii="Arial" w:hAnsi="Arial" w:cs="Arial"/>
              </w:rPr>
            </w:pPr>
            <w:r w:rsidRPr="00952BC7">
              <w:rPr>
                <w:rFonts w:ascii="Arial" w:hAnsi="Arial" w:cs="Arial"/>
              </w:rPr>
              <w:t>Week 6:</w:t>
            </w:r>
          </w:p>
        </w:tc>
        <w:tc>
          <w:tcPr>
            <w:tcW w:w="8208" w:type="dxa"/>
          </w:tcPr>
          <w:p w:rsidR="00D265E4" w:rsidRPr="00952BC7" w:rsidRDefault="00D265E4" w:rsidP="00882061">
            <w:pPr>
              <w:spacing w:after="0" w:line="240" w:lineRule="auto"/>
              <w:rPr>
                <w:rFonts w:ascii="Arial" w:hAnsi="Arial" w:cs="Arial"/>
              </w:rPr>
            </w:pPr>
            <w:r w:rsidRPr="00952BC7">
              <w:rPr>
                <w:rFonts w:ascii="Arial" w:hAnsi="Arial" w:cs="Arial"/>
              </w:rPr>
              <w:t>Swaps; Chapter 7</w:t>
            </w:r>
          </w:p>
        </w:tc>
      </w:tr>
      <w:tr w:rsidR="00D265E4" w:rsidRPr="00952BC7" w:rsidTr="00882061">
        <w:tc>
          <w:tcPr>
            <w:tcW w:w="1368" w:type="dxa"/>
          </w:tcPr>
          <w:p w:rsidR="00D265E4" w:rsidRPr="00952BC7" w:rsidRDefault="00D265E4" w:rsidP="00882061">
            <w:pPr>
              <w:spacing w:after="0" w:line="240" w:lineRule="auto"/>
              <w:rPr>
                <w:rFonts w:ascii="Arial" w:hAnsi="Arial" w:cs="Arial"/>
              </w:rPr>
            </w:pPr>
            <w:r w:rsidRPr="00952BC7">
              <w:rPr>
                <w:rFonts w:ascii="Arial" w:hAnsi="Arial" w:cs="Arial"/>
              </w:rPr>
              <w:t>Week 7:</w:t>
            </w:r>
          </w:p>
        </w:tc>
        <w:tc>
          <w:tcPr>
            <w:tcW w:w="8208" w:type="dxa"/>
          </w:tcPr>
          <w:p w:rsidR="00D265E4" w:rsidRPr="00952BC7" w:rsidRDefault="00D265E4" w:rsidP="003174CF">
            <w:pPr>
              <w:spacing w:after="0" w:line="240" w:lineRule="auto"/>
              <w:rPr>
                <w:rFonts w:ascii="Arial" w:hAnsi="Arial" w:cs="Arial"/>
              </w:rPr>
            </w:pPr>
            <w:r>
              <w:rPr>
                <w:rFonts w:ascii="Arial" w:hAnsi="Arial" w:cs="Arial"/>
              </w:rPr>
              <w:t>Secur</w:t>
            </w:r>
            <w:r w:rsidR="00E037C9">
              <w:rPr>
                <w:rFonts w:ascii="Arial" w:hAnsi="Arial" w:cs="Arial"/>
              </w:rPr>
              <w:t xml:space="preserve">itization, </w:t>
            </w:r>
            <w:r w:rsidR="004806DB">
              <w:rPr>
                <w:rFonts w:ascii="Arial" w:hAnsi="Arial" w:cs="Arial"/>
              </w:rPr>
              <w:t>the Credit Crisi</w:t>
            </w:r>
            <w:r w:rsidR="004C2F16">
              <w:rPr>
                <w:rFonts w:ascii="Arial" w:hAnsi="Arial" w:cs="Arial"/>
              </w:rPr>
              <w:t xml:space="preserve">s and </w:t>
            </w:r>
            <w:r w:rsidR="00E037C9">
              <w:rPr>
                <w:rFonts w:ascii="Arial" w:hAnsi="Arial" w:cs="Arial"/>
              </w:rPr>
              <w:t>XVAs</w:t>
            </w:r>
            <w:r w:rsidR="003174CF">
              <w:rPr>
                <w:rFonts w:ascii="Arial" w:hAnsi="Arial" w:cs="Arial"/>
              </w:rPr>
              <w:t>;</w:t>
            </w:r>
            <w:r w:rsidR="004C2F16">
              <w:rPr>
                <w:rFonts w:ascii="Arial" w:hAnsi="Arial" w:cs="Arial"/>
              </w:rPr>
              <w:t xml:space="preserve"> Chapters 8 and 9</w:t>
            </w:r>
          </w:p>
        </w:tc>
      </w:tr>
      <w:tr w:rsidR="00D265E4" w:rsidRPr="00952BC7" w:rsidTr="00882061">
        <w:tc>
          <w:tcPr>
            <w:tcW w:w="1368" w:type="dxa"/>
          </w:tcPr>
          <w:p w:rsidR="00D265E4" w:rsidRPr="00952BC7" w:rsidRDefault="00D265E4" w:rsidP="00882061">
            <w:pPr>
              <w:spacing w:after="0" w:line="240" w:lineRule="auto"/>
              <w:rPr>
                <w:rFonts w:ascii="Arial" w:hAnsi="Arial" w:cs="Arial"/>
              </w:rPr>
            </w:pPr>
            <w:r w:rsidRPr="00952BC7">
              <w:rPr>
                <w:rFonts w:ascii="Arial" w:hAnsi="Arial" w:cs="Arial"/>
              </w:rPr>
              <w:t>Week 8:</w:t>
            </w:r>
          </w:p>
        </w:tc>
        <w:tc>
          <w:tcPr>
            <w:tcW w:w="8208" w:type="dxa"/>
          </w:tcPr>
          <w:p w:rsidR="00D265E4" w:rsidRPr="00952BC7" w:rsidRDefault="006C57AD" w:rsidP="003174CF">
            <w:pPr>
              <w:spacing w:after="0" w:line="240" w:lineRule="auto"/>
              <w:rPr>
                <w:rFonts w:ascii="Arial" w:hAnsi="Arial" w:cs="Arial"/>
              </w:rPr>
            </w:pPr>
            <w:r>
              <w:rPr>
                <w:rFonts w:ascii="Arial" w:hAnsi="Arial" w:cs="Arial"/>
              </w:rPr>
              <w:t xml:space="preserve">Mechanics of </w:t>
            </w:r>
            <w:r w:rsidR="003174CF">
              <w:rPr>
                <w:rFonts w:ascii="Arial" w:hAnsi="Arial" w:cs="Arial"/>
              </w:rPr>
              <w:t>O</w:t>
            </w:r>
            <w:r>
              <w:rPr>
                <w:rFonts w:ascii="Arial" w:hAnsi="Arial" w:cs="Arial"/>
              </w:rPr>
              <w:t xml:space="preserve">ption </w:t>
            </w:r>
            <w:r w:rsidR="003174CF">
              <w:rPr>
                <w:rFonts w:ascii="Arial" w:hAnsi="Arial" w:cs="Arial"/>
              </w:rPr>
              <w:t>M</w:t>
            </w:r>
            <w:r>
              <w:rPr>
                <w:rFonts w:ascii="Arial" w:hAnsi="Arial" w:cs="Arial"/>
              </w:rPr>
              <w:t xml:space="preserve">arkets and </w:t>
            </w:r>
            <w:r w:rsidR="003174CF">
              <w:rPr>
                <w:rFonts w:ascii="Arial" w:hAnsi="Arial" w:cs="Arial"/>
              </w:rPr>
              <w:t>P</w:t>
            </w:r>
            <w:r w:rsidR="004806DB">
              <w:rPr>
                <w:rFonts w:ascii="Arial" w:hAnsi="Arial" w:cs="Arial"/>
              </w:rPr>
              <w:t xml:space="preserve">roperties of </w:t>
            </w:r>
            <w:r w:rsidR="003174CF">
              <w:rPr>
                <w:rFonts w:ascii="Arial" w:hAnsi="Arial" w:cs="Arial"/>
              </w:rPr>
              <w:t>O</w:t>
            </w:r>
            <w:r w:rsidR="004806DB">
              <w:rPr>
                <w:rFonts w:ascii="Arial" w:hAnsi="Arial" w:cs="Arial"/>
              </w:rPr>
              <w:t>ptions; Chapters 10 and 11</w:t>
            </w:r>
          </w:p>
        </w:tc>
      </w:tr>
      <w:tr w:rsidR="00D265E4" w:rsidRPr="00952BC7" w:rsidTr="00882061">
        <w:tc>
          <w:tcPr>
            <w:tcW w:w="1368" w:type="dxa"/>
          </w:tcPr>
          <w:p w:rsidR="00D265E4" w:rsidRPr="00952BC7" w:rsidRDefault="00D265E4" w:rsidP="00882061">
            <w:pPr>
              <w:spacing w:after="0" w:line="240" w:lineRule="auto"/>
              <w:rPr>
                <w:rFonts w:ascii="Arial" w:hAnsi="Arial" w:cs="Arial"/>
              </w:rPr>
            </w:pPr>
            <w:r w:rsidRPr="00952BC7">
              <w:rPr>
                <w:rFonts w:ascii="Arial" w:hAnsi="Arial" w:cs="Arial"/>
              </w:rPr>
              <w:t>Week 9:</w:t>
            </w:r>
          </w:p>
        </w:tc>
        <w:tc>
          <w:tcPr>
            <w:tcW w:w="8208" w:type="dxa"/>
          </w:tcPr>
          <w:p w:rsidR="00D265E4" w:rsidRPr="00952BC7" w:rsidRDefault="00D265E4" w:rsidP="003174CF">
            <w:pPr>
              <w:spacing w:after="0" w:line="240" w:lineRule="auto"/>
              <w:rPr>
                <w:rFonts w:ascii="Arial" w:hAnsi="Arial" w:cs="Arial"/>
              </w:rPr>
            </w:pPr>
            <w:r w:rsidRPr="00952BC7">
              <w:rPr>
                <w:rFonts w:ascii="Arial" w:hAnsi="Arial" w:cs="Arial"/>
              </w:rPr>
              <w:t xml:space="preserve">Trading </w:t>
            </w:r>
            <w:r w:rsidR="003174CF">
              <w:rPr>
                <w:rFonts w:ascii="Arial" w:hAnsi="Arial" w:cs="Arial"/>
              </w:rPr>
              <w:t>S</w:t>
            </w:r>
            <w:r w:rsidRPr="00952BC7">
              <w:rPr>
                <w:rFonts w:ascii="Arial" w:hAnsi="Arial" w:cs="Arial"/>
              </w:rPr>
              <w:t>trategies</w:t>
            </w:r>
            <w:r>
              <w:rPr>
                <w:rFonts w:ascii="Arial" w:hAnsi="Arial" w:cs="Arial"/>
              </w:rPr>
              <w:t xml:space="preserve"> </w:t>
            </w:r>
            <w:r w:rsidR="003174CF">
              <w:rPr>
                <w:rFonts w:ascii="Arial" w:hAnsi="Arial" w:cs="Arial"/>
              </w:rPr>
              <w:t>I</w:t>
            </w:r>
            <w:r w:rsidR="006C57AD">
              <w:rPr>
                <w:rFonts w:ascii="Arial" w:hAnsi="Arial" w:cs="Arial"/>
              </w:rPr>
              <w:t xml:space="preserve">nvolving </w:t>
            </w:r>
            <w:r w:rsidR="003174CF">
              <w:rPr>
                <w:rFonts w:ascii="Arial" w:hAnsi="Arial" w:cs="Arial"/>
              </w:rPr>
              <w:t>O</w:t>
            </w:r>
            <w:r w:rsidR="006C57AD">
              <w:rPr>
                <w:rFonts w:ascii="Arial" w:hAnsi="Arial" w:cs="Arial"/>
              </w:rPr>
              <w:t xml:space="preserve">ptions </w:t>
            </w:r>
            <w:r w:rsidR="004806DB">
              <w:rPr>
                <w:rFonts w:ascii="Arial" w:hAnsi="Arial" w:cs="Arial"/>
              </w:rPr>
              <w:t xml:space="preserve">and </w:t>
            </w:r>
            <w:r w:rsidR="003174CF">
              <w:rPr>
                <w:rFonts w:ascii="Arial" w:hAnsi="Arial" w:cs="Arial"/>
              </w:rPr>
              <w:t>B</w:t>
            </w:r>
            <w:r w:rsidR="004806DB">
              <w:rPr>
                <w:rFonts w:ascii="Arial" w:hAnsi="Arial" w:cs="Arial"/>
              </w:rPr>
              <w:t xml:space="preserve">inomial </w:t>
            </w:r>
            <w:r w:rsidR="003174CF">
              <w:rPr>
                <w:rFonts w:ascii="Arial" w:hAnsi="Arial" w:cs="Arial"/>
              </w:rPr>
              <w:t>T</w:t>
            </w:r>
            <w:r w:rsidR="004806DB">
              <w:rPr>
                <w:rFonts w:ascii="Arial" w:hAnsi="Arial" w:cs="Arial"/>
              </w:rPr>
              <w:t>rees; Chapters 12 and 13</w:t>
            </w:r>
          </w:p>
        </w:tc>
      </w:tr>
      <w:tr w:rsidR="00D265E4" w:rsidRPr="00952BC7" w:rsidTr="00882061">
        <w:tc>
          <w:tcPr>
            <w:tcW w:w="1368" w:type="dxa"/>
          </w:tcPr>
          <w:p w:rsidR="00D265E4" w:rsidRPr="00952BC7" w:rsidRDefault="00D265E4" w:rsidP="00882061">
            <w:pPr>
              <w:spacing w:after="0" w:line="240" w:lineRule="auto"/>
              <w:rPr>
                <w:rFonts w:ascii="Arial" w:hAnsi="Arial" w:cs="Arial"/>
              </w:rPr>
            </w:pPr>
            <w:r w:rsidRPr="00952BC7">
              <w:rPr>
                <w:rFonts w:ascii="Arial" w:hAnsi="Arial" w:cs="Arial"/>
              </w:rPr>
              <w:t>Week 10:</w:t>
            </w:r>
          </w:p>
        </w:tc>
        <w:tc>
          <w:tcPr>
            <w:tcW w:w="8208" w:type="dxa"/>
          </w:tcPr>
          <w:p w:rsidR="00D265E4" w:rsidRPr="00952BC7" w:rsidRDefault="00D265E4" w:rsidP="003174CF">
            <w:pPr>
              <w:spacing w:after="0" w:line="240" w:lineRule="auto"/>
              <w:rPr>
                <w:rFonts w:ascii="Arial" w:hAnsi="Arial" w:cs="Arial"/>
              </w:rPr>
            </w:pPr>
            <w:r w:rsidRPr="00952BC7">
              <w:rPr>
                <w:rFonts w:ascii="Arial" w:hAnsi="Arial" w:cs="Arial"/>
              </w:rPr>
              <w:t>The Black</w:t>
            </w:r>
            <w:r w:rsidR="003174CF">
              <w:rPr>
                <w:rFonts w:ascii="CMR10" w:hAnsi="CMR10" w:cs="CMR10"/>
                <w:sz w:val="24"/>
                <w:szCs w:val="24"/>
                <w:lang w:val="en-IN" w:eastAsia="en-CA"/>
              </w:rPr>
              <w:t>–</w:t>
            </w:r>
            <w:r w:rsidR="004806DB">
              <w:rPr>
                <w:rFonts w:ascii="Arial" w:hAnsi="Arial" w:cs="Arial"/>
              </w:rPr>
              <w:t>Scholes</w:t>
            </w:r>
            <w:r w:rsidR="003174CF">
              <w:rPr>
                <w:rFonts w:ascii="CMR10" w:hAnsi="CMR10" w:cs="CMR10"/>
                <w:sz w:val="24"/>
                <w:szCs w:val="24"/>
                <w:lang w:val="en-IN" w:eastAsia="en-CA"/>
              </w:rPr>
              <w:t>–</w:t>
            </w:r>
            <w:r w:rsidR="004806DB">
              <w:rPr>
                <w:rFonts w:ascii="Arial" w:hAnsi="Arial" w:cs="Arial"/>
              </w:rPr>
              <w:t xml:space="preserve">Merton </w:t>
            </w:r>
            <w:r w:rsidR="003174CF">
              <w:rPr>
                <w:rFonts w:ascii="Arial" w:hAnsi="Arial" w:cs="Arial"/>
              </w:rPr>
              <w:t>M</w:t>
            </w:r>
            <w:r w:rsidR="004806DB">
              <w:rPr>
                <w:rFonts w:ascii="Arial" w:hAnsi="Arial" w:cs="Arial"/>
              </w:rPr>
              <w:t>odel; Chapter 15 (excl. 15</w:t>
            </w:r>
            <w:r w:rsidRPr="00952BC7">
              <w:rPr>
                <w:rFonts w:ascii="Arial" w:hAnsi="Arial" w:cs="Arial"/>
              </w:rPr>
              <w:t>.6)</w:t>
            </w:r>
          </w:p>
        </w:tc>
      </w:tr>
      <w:tr w:rsidR="00D265E4" w:rsidRPr="00952BC7" w:rsidTr="00882061">
        <w:tc>
          <w:tcPr>
            <w:tcW w:w="1368" w:type="dxa"/>
          </w:tcPr>
          <w:p w:rsidR="00D265E4" w:rsidRPr="00952BC7" w:rsidRDefault="00D265E4" w:rsidP="00882061">
            <w:pPr>
              <w:spacing w:after="0" w:line="240" w:lineRule="auto"/>
              <w:rPr>
                <w:rFonts w:ascii="Arial" w:hAnsi="Arial" w:cs="Arial"/>
              </w:rPr>
            </w:pPr>
            <w:r w:rsidRPr="00952BC7">
              <w:rPr>
                <w:rFonts w:ascii="Arial" w:hAnsi="Arial" w:cs="Arial"/>
              </w:rPr>
              <w:t>Week 11:</w:t>
            </w:r>
          </w:p>
        </w:tc>
        <w:tc>
          <w:tcPr>
            <w:tcW w:w="8208" w:type="dxa"/>
          </w:tcPr>
          <w:p w:rsidR="00D265E4" w:rsidRPr="00952BC7" w:rsidRDefault="00D265E4" w:rsidP="003174CF">
            <w:pPr>
              <w:spacing w:after="0" w:line="240" w:lineRule="auto"/>
              <w:rPr>
                <w:rFonts w:ascii="Arial" w:hAnsi="Arial" w:cs="Arial"/>
              </w:rPr>
            </w:pPr>
            <w:r w:rsidRPr="00952BC7">
              <w:rPr>
                <w:rFonts w:ascii="Arial" w:hAnsi="Arial" w:cs="Arial"/>
              </w:rPr>
              <w:t>Em</w:t>
            </w:r>
            <w:r w:rsidR="004806DB">
              <w:rPr>
                <w:rFonts w:ascii="Arial" w:hAnsi="Arial" w:cs="Arial"/>
              </w:rPr>
              <w:t xml:space="preserve">ployee </w:t>
            </w:r>
            <w:r w:rsidR="003174CF">
              <w:rPr>
                <w:rFonts w:ascii="Arial" w:hAnsi="Arial" w:cs="Arial"/>
              </w:rPr>
              <w:t>S</w:t>
            </w:r>
            <w:r w:rsidR="004806DB">
              <w:rPr>
                <w:rFonts w:ascii="Arial" w:hAnsi="Arial" w:cs="Arial"/>
              </w:rPr>
              <w:t xml:space="preserve">tock </w:t>
            </w:r>
            <w:r w:rsidR="003174CF">
              <w:rPr>
                <w:rFonts w:ascii="Arial" w:hAnsi="Arial" w:cs="Arial"/>
              </w:rPr>
              <w:t>O</w:t>
            </w:r>
            <w:r w:rsidR="004806DB">
              <w:rPr>
                <w:rFonts w:ascii="Arial" w:hAnsi="Arial" w:cs="Arial"/>
              </w:rPr>
              <w:t>ptions; Chapter 16</w:t>
            </w:r>
          </w:p>
        </w:tc>
      </w:tr>
      <w:tr w:rsidR="00D265E4" w:rsidRPr="00952BC7" w:rsidTr="00882061">
        <w:tc>
          <w:tcPr>
            <w:tcW w:w="1368" w:type="dxa"/>
          </w:tcPr>
          <w:p w:rsidR="00D265E4" w:rsidRPr="00952BC7" w:rsidRDefault="00D265E4" w:rsidP="00882061">
            <w:pPr>
              <w:spacing w:after="0" w:line="240" w:lineRule="auto"/>
              <w:rPr>
                <w:rFonts w:ascii="Arial" w:hAnsi="Arial" w:cs="Arial"/>
              </w:rPr>
            </w:pPr>
            <w:r w:rsidRPr="00952BC7">
              <w:rPr>
                <w:rFonts w:ascii="Arial" w:hAnsi="Arial" w:cs="Arial"/>
              </w:rPr>
              <w:t>Week 12:</w:t>
            </w:r>
          </w:p>
        </w:tc>
        <w:tc>
          <w:tcPr>
            <w:tcW w:w="8208" w:type="dxa"/>
          </w:tcPr>
          <w:p w:rsidR="00D265E4" w:rsidRPr="00952BC7" w:rsidRDefault="00D265E4" w:rsidP="003174CF">
            <w:pPr>
              <w:spacing w:after="0" w:line="240" w:lineRule="auto"/>
              <w:rPr>
                <w:rFonts w:ascii="Arial" w:hAnsi="Arial" w:cs="Arial"/>
              </w:rPr>
            </w:pPr>
            <w:r w:rsidRPr="00952BC7">
              <w:rPr>
                <w:rFonts w:ascii="Arial" w:hAnsi="Arial" w:cs="Arial"/>
              </w:rPr>
              <w:t xml:space="preserve">Options on </w:t>
            </w:r>
            <w:r w:rsidR="003174CF">
              <w:rPr>
                <w:rFonts w:ascii="Arial" w:hAnsi="Arial" w:cs="Arial"/>
              </w:rPr>
              <w:t>S</w:t>
            </w:r>
            <w:r w:rsidRPr="00952BC7">
              <w:rPr>
                <w:rFonts w:ascii="Arial" w:hAnsi="Arial" w:cs="Arial"/>
              </w:rPr>
              <w:t xml:space="preserve">tock </w:t>
            </w:r>
            <w:r w:rsidR="003174CF">
              <w:rPr>
                <w:rFonts w:ascii="Arial" w:hAnsi="Arial" w:cs="Arial"/>
              </w:rPr>
              <w:t>I</w:t>
            </w:r>
            <w:r w:rsidRPr="00952BC7">
              <w:rPr>
                <w:rFonts w:ascii="Arial" w:hAnsi="Arial" w:cs="Arial"/>
              </w:rPr>
              <w:t xml:space="preserve">ndices, </w:t>
            </w:r>
            <w:r w:rsidR="003174CF">
              <w:rPr>
                <w:rFonts w:ascii="Arial" w:hAnsi="Arial" w:cs="Arial"/>
              </w:rPr>
              <w:t>C</w:t>
            </w:r>
            <w:r w:rsidRPr="00952BC7">
              <w:rPr>
                <w:rFonts w:ascii="Arial" w:hAnsi="Arial" w:cs="Arial"/>
              </w:rPr>
              <w:t>ur</w:t>
            </w:r>
            <w:r>
              <w:rPr>
                <w:rFonts w:ascii="Arial" w:hAnsi="Arial" w:cs="Arial"/>
              </w:rPr>
              <w:t xml:space="preserve">rencies and </w:t>
            </w:r>
            <w:r w:rsidR="003174CF">
              <w:rPr>
                <w:rFonts w:ascii="Arial" w:hAnsi="Arial" w:cs="Arial"/>
              </w:rPr>
              <w:t>F</w:t>
            </w:r>
            <w:r>
              <w:rPr>
                <w:rFonts w:ascii="Arial" w:hAnsi="Arial" w:cs="Arial"/>
              </w:rPr>
              <w:t xml:space="preserve">utures; </w:t>
            </w:r>
            <w:r w:rsidR="004806DB">
              <w:rPr>
                <w:rFonts w:ascii="Arial" w:hAnsi="Arial" w:cs="Arial"/>
              </w:rPr>
              <w:t>Chapters 17 and 18</w:t>
            </w:r>
          </w:p>
        </w:tc>
      </w:tr>
      <w:tr w:rsidR="00D265E4" w:rsidRPr="00952BC7" w:rsidTr="00882061">
        <w:tc>
          <w:tcPr>
            <w:tcW w:w="1368" w:type="dxa"/>
          </w:tcPr>
          <w:p w:rsidR="00D265E4" w:rsidRPr="00952BC7" w:rsidRDefault="00D265E4" w:rsidP="00882061">
            <w:pPr>
              <w:spacing w:after="0" w:line="240" w:lineRule="auto"/>
              <w:rPr>
                <w:rFonts w:ascii="Arial" w:hAnsi="Arial" w:cs="Arial"/>
              </w:rPr>
            </w:pPr>
            <w:r w:rsidRPr="00952BC7">
              <w:rPr>
                <w:rFonts w:ascii="Arial" w:hAnsi="Arial" w:cs="Arial"/>
              </w:rPr>
              <w:t>Week 13:</w:t>
            </w:r>
          </w:p>
        </w:tc>
        <w:tc>
          <w:tcPr>
            <w:tcW w:w="8208" w:type="dxa"/>
          </w:tcPr>
          <w:p w:rsidR="00D265E4" w:rsidRPr="00952BC7" w:rsidRDefault="004806DB" w:rsidP="00882061">
            <w:pPr>
              <w:spacing w:after="0" w:line="240" w:lineRule="auto"/>
              <w:rPr>
                <w:rFonts w:ascii="Arial" w:hAnsi="Arial" w:cs="Arial"/>
              </w:rPr>
            </w:pPr>
            <w:r>
              <w:rPr>
                <w:rFonts w:ascii="Arial" w:hAnsi="Arial" w:cs="Arial"/>
              </w:rPr>
              <w:t>The Greeks; Chapter 19</w:t>
            </w:r>
          </w:p>
        </w:tc>
      </w:tr>
      <w:tr w:rsidR="00D265E4" w:rsidRPr="00952BC7" w:rsidTr="00882061">
        <w:tc>
          <w:tcPr>
            <w:tcW w:w="1368" w:type="dxa"/>
          </w:tcPr>
          <w:p w:rsidR="00D265E4" w:rsidRPr="00952BC7" w:rsidRDefault="00D265E4" w:rsidP="00882061">
            <w:pPr>
              <w:spacing w:after="0" w:line="240" w:lineRule="auto"/>
              <w:rPr>
                <w:rFonts w:ascii="Arial" w:hAnsi="Arial" w:cs="Arial"/>
              </w:rPr>
            </w:pPr>
            <w:r w:rsidRPr="00952BC7">
              <w:rPr>
                <w:rFonts w:ascii="Arial" w:hAnsi="Arial" w:cs="Arial"/>
              </w:rPr>
              <w:t>Week 14:</w:t>
            </w:r>
          </w:p>
        </w:tc>
        <w:tc>
          <w:tcPr>
            <w:tcW w:w="8208" w:type="dxa"/>
          </w:tcPr>
          <w:p w:rsidR="00D265E4" w:rsidRPr="00952BC7" w:rsidRDefault="004806DB" w:rsidP="00882061">
            <w:pPr>
              <w:spacing w:after="0" w:line="240" w:lineRule="auto"/>
              <w:rPr>
                <w:rFonts w:ascii="Arial" w:hAnsi="Arial" w:cs="Arial"/>
              </w:rPr>
            </w:pPr>
            <w:r>
              <w:rPr>
                <w:rFonts w:ascii="Arial" w:hAnsi="Arial" w:cs="Arial"/>
              </w:rPr>
              <w:t xml:space="preserve">Volatility </w:t>
            </w:r>
            <w:r w:rsidR="003174CF">
              <w:rPr>
                <w:rFonts w:ascii="Arial" w:hAnsi="Arial" w:cs="Arial"/>
              </w:rPr>
              <w:t>S</w:t>
            </w:r>
            <w:r>
              <w:rPr>
                <w:rFonts w:ascii="Arial" w:hAnsi="Arial" w:cs="Arial"/>
              </w:rPr>
              <w:t>miles; Chapter 20</w:t>
            </w:r>
          </w:p>
        </w:tc>
      </w:tr>
      <w:tr w:rsidR="00D265E4" w:rsidRPr="00952BC7" w:rsidTr="00882061">
        <w:tc>
          <w:tcPr>
            <w:tcW w:w="1368" w:type="dxa"/>
          </w:tcPr>
          <w:p w:rsidR="00D265E4" w:rsidRPr="00952BC7" w:rsidRDefault="00D265E4" w:rsidP="00882061">
            <w:pPr>
              <w:spacing w:after="0" w:line="240" w:lineRule="auto"/>
              <w:rPr>
                <w:rFonts w:ascii="Arial" w:hAnsi="Arial" w:cs="Arial"/>
              </w:rPr>
            </w:pPr>
            <w:r w:rsidRPr="00952BC7">
              <w:rPr>
                <w:rFonts w:ascii="Arial" w:hAnsi="Arial" w:cs="Arial"/>
              </w:rPr>
              <w:t>Week 15:</w:t>
            </w:r>
          </w:p>
        </w:tc>
        <w:tc>
          <w:tcPr>
            <w:tcW w:w="8208" w:type="dxa"/>
          </w:tcPr>
          <w:p w:rsidR="00D265E4" w:rsidRPr="00952BC7" w:rsidRDefault="00E037C9" w:rsidP="003174CF">
            <w:pPr>
              <w:spacing w:after="0" w:line="240" w:lineRule="auto"/>
              <w:rPr>
                <w:rFonts w:ascii="Arial" w:hAnsi="Arial" w:cs="Arial"/>
              </w:rPr>
            </w:pPr>
            <w:r>
              <w:rPr>
                <w:rFonts w:ascii="Arial" w:hAnsi="Arial" w:cs="Arial"/>
              </w:rPr>
              <w:t xml:space="preserve">Review of </w:t>
            </w:r>
            <w:r w:rsidR="003174CF">
              <w:rPr>
                <w:rFonts w:ascii="Arial" w:hAnsi="Arial" w:cs="Arial"/>
              </w:rPr>
              <w:t>C</w:t>
            </w:r>
            <w:r>
              <w:rPr>
                <w:rFonts w:ascii="Arial" w:hAnsi="Arial" w:cs="Arial"/>
              </w:rPr>
              <w:t>ourse; Chapter 37</w:t>
            </w:r>
          </w:p>
        </w:tc>
      </w:tr>
    </w:tbl>
    <w:p w:rsidR="001D6CA3" w:rsidRDefault="001D6CA3"/>
    <w:sectPr w:rsidR="001D6CA3" w:rsidSect="001D6C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566863"/>
    <w:multiLevelType w:val="hybridMultilevel"/>
    <w:tmpl w:val="6726A832"/>
    <w:lvl w:ilvl="0" w:tplc="0409000B">
      <w:start w:val="1"/>
      <w:numFmt w:val="bullet"/>
      <w:lvlText w:val=""/>
      <w:lvlJc w:val="left"/>
      <w:pPr>
        <w:tabs>
          <w:tab w:val="num" w:pos="720"/>
        </w:tabs>
        <w:ind w:left="720" w:hanging="360"/>
      </w:pPr>
      <w:rPr>
        <w:rFonts w:ascii="Wingdings" w:hAnsi="Wingdings" w:hint="default"/>
      </w:rPr>
    </w:lvl>
    <w:lvl w:ilvl="1" w:tplc="2640CE32">
      <w:start w:val="1"/>
      <w:numFmt w:val="decimal"/>
      <w:pStyle w:val="Heading3"/>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F74"/>
    <w:rsid w:val="00061F74"/>
    <w:rsid w:val="001D6CA3"/>
    <w:rsid w:val="00214412"/>
    <w:rsid w:val="0025140A"/>
    <w:rsid w:val="003174CF"/>
    <w:rsid w:val="00377546"/>
    <w:rsid w:val="003C7E57"/>
    <w:rsid w:val="004806DB"/>
    <w:rsid w:val="004C2F16"/>
    <w:rsid w:val="005D0E72"/>
    <w:rsid w:val="006568BA"/>
    <w:rsid w:val="006C57AD"/>
    <w:rsid w:val="00815F9D"/>
    <w:rsid w:val="00882061"/>
    <w:rsid w:val="00B96AD1"/>
    <w:rsid w:val="00BE77C8"/>
    <w:rsid w:val="00D265E4"/>
    <w:rsid w:val="00D8687C"/>
    <w:rsid w:val="00E037C9"/>
    <w:rsid w:val="00E30743"/>
    <w:rsid w:val="00F2534C"/>
    <w:rsid w:val="00F966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B21AE233-4903-48DA-8A03-513FE75B5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F74"/>
    <w:pPr>
      <w:spacing w:after="200" w:line="276" w:lineRule="auto"/>
    </w:pPr>
    <w:rPr>
      <w:sz w:val="22"/>
      <w:szCs w:val="22"/>
      <w:lang w:val="en-US" w:eastAsia="en-US"/>
    </w:rPr>
  </w:style>
  <w:style w:type="paragraph" w:styleId="Heading3">
    <w:name w:val="heading 3"/>
    <w:basedOn w:val="Normal"/>
    <w:next w:val="Normal"/>
    <w:link w:val="Heading3Char"/>
    <w:autoRedefine/>
    <w:qFormat/>
    <w:rsid w:val="00061F74"/>
    <w:pPr>
      <w:keepNext/>
      <w:widowControl w:val="0"/>
      <w:numPr>
        <w:ilvl w:val="1"/>
        <w:numId w:val="1"/>
      </w:numPr>
      <w:tabs>
        <w:tab w:val="clear" w:pos="1440"/>
        <w:tab w:val="num" w:pos="360"/>
      </w:tabs>
      <w:autoSpaceDE w:val="0"/>
      <w:autoSpaceDN w:val="0"/>
      <w:adjustRightInd w:val="0"/>
      <w:spacing w:before="240" w:after="60" w:line="240" w:lineRule="auto"/>
      <w:ind w:hanging="1440"/>
      <w:outlineLvl w:val="2"/>
    </w:pPr>
    <w:rPr>
      <w:rFonts w:ascii="Century Gothic" w:eastAsia="Times New Roman" w:hAnsi="Century Gothic" w:cs="Arial"/>
      <w:b/>
      <w:bCs/>
      <w:szCs w:val="2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061F74"/>
    <w:rPr>
      <w:rFonts w:ascii="Century Gothic" w:eastAsia="Times New Roman" w:hAnsi="Century Gothic" w:cs="Arial"/>
      <w:b/>
      <w:bCs/>
      <w:szCs w:val="26"/>
      <w:lang w:val="en-CA"/>
    </w:rPr>
  </w:style>
  <w:style w:type="paragraph" w:styleId="BalloonText">
    <w:name w:val="Balloon Text"/>
    <w:basedOn w:val="Normal"/>
    <w:link w:val="BalloonTextChar"/>
    <w:uiPriority w:val="99"/>
    <w:semiHidden/>
    <w:unhideWhenUsed/>
    <w:rsid w:val="003174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74CF"/>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Joseph L. Rotman School of Management</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John Hull</cp:lastModifiedBy>
  <cp:revision>3</cp:revision>
  <dcterms:created xsi:type="dcterms:W3CDTF">2021-02-20T06:54:00Z</dcterms:created>
  <dcterms:modified xsi:type="dcterms:W3CDTF">2021-03-20T15:38:00Z</dcterms:modified>
</cp:coreProperties>
</file>