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2430"/>
        </w:tabs>
        <w:rPr>
          <w:rFonts w:ascii="Times New Roman" w:cs="Times New Roman" w:eastAsia="Times New Roman" w:hAnsi="Times New Roman"/>
          <w:smallCaps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32"/>
          <w:szCs w:val="32"/>
          <w:rtl w:val="0"/>
        </w:rPr>
        <w:t xml:space="preserve">Legal FirstName (Nickname optional) LastName</w:t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430"/>
        </w:tabs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(206) 555-1234 | email@address.com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your LinkedIn Link</w:t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430"/>
        </w:tabs>
        <w:rPr>
          <w:rFonts w:ascii="Times New Roman" w:cs="Times New Roman" w:eastAsia="Times New Roman" w:hAnsi="Times New Roman"/>
          <w:b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430"/>
        </w:tabs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6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60"/>
          <w:tab w:val="left" w:leader="none" w:pos="8640"/>
        </w:tabs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tabs>
          <w:tab w:val="left" w:leader="none" w:pos="36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University of Washington</w:t>
      </w:r>
      <w:r w:rsidDel="00000000" w:rsidR="00000000" w:rsidRPr="00000000">
        <w:rPr>
          <w:sz w:val="20"/>
          <w:szCs w:val="20"/>
          <w:rtl w:val="0"/>
        </w:rPr>
        <w:t xml:space="preserve">, Seattle, WA</w:t>
        <w:tab/>
        <w:t xml:space="preserve">   </w:t>
        <w:tab/>
        <w:t xml:space="preserve">      </w:t>
        <w:tab/>
        <w:t xml:space="preserve">Master of Science in Computational Finance and Risk Management                                          Expected December, 2024</w:t>
        <w:tab/>
        <w:tab/>
        <w:tab/>
        <w:tab/>
      </w:r>
    </w:p>
    <w:p w:rsidR="00000000" w:rsidDel="00000000" w:rsidP="00000000" w:rsidRDefault="00000000" w:rsidRPr="00000000" w14:paraId="00000009">
      <w:pPr>
        <w:tabs>
          <w:tab w:val="left" w:leader="none" w:pos="36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University of Southern California</w:t>
      </w:r>
      <w:r w:rsidDel="00000000" w:rsidR="00000000" w:rsidRPr="00000000">
        <w:rPr>
          <w:sz w:val="20"/>
          <w:szCs w:val="20"/>
          <w:rtl w:val="0"/>
        </w:rPr>
        <w:t xml:space="preserve">, Los Angeles, CA</w:t>
        <w:tab/>
        <w:t xml:space="preserve">    </w:t>
        <w:tab/>
        <w:tab/>
        <w:t xml:space="preserve">Bachelor of Science </w:t>
      </w:r>
      <w:r w:rsidDel="00000000" w:rsidR="00000000" w:rsidRPr="00000000">
        <w:rPr>
          <w:i w:val="1"/>
          <w:sz w:val="20"/>
          <w:szCs w:val="20"/>
          <w:rtl w:val="0"/>
        </w:rPr>
        <w:t xml:space="preserve">magna cum laude</w:t>
      </w:r>
      <w:r w:rsidDel="00000000" w:rsidR="00000000" w:rsidRPr="00000000">
        <w:rPr>
          <w:sz w:val="20"/>
          <w:szCs w:val="20"/>
          <w:rtl w:val="0"/>
        </w:rPr>
        <w:t xml:space="preserve"> in Finance, June 2019; Minor: Mathematics</w:t>
      </w:r>
    </w:p>
    <w:p w:rsidR="00000000" w:rsidDel="00000000" w:rsidP="00000000" w:rsidRDefault="00000000" w:rsidRPr="00000000" w14:paraId="0000000A">
      <w:pPr>
        <w:tabs>
          <w:tab w:val="left" w:leader="none" w:pos="36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Dean’s List 2017-2019; President’s Award 2018</w:t>
      </w:r>
    </w:p>
    <w:p w:rsidR="00000000" w:rsidDel="00000000" w:rsidP="00000000" w:rsidRDefault="00000000" w:rsidRPr="00000000" w14:paraId="0000000B">
      <w:pPr>
        <w:tabs>
          <w:tab w:val="left" w:leader="none" w:pos="432"/>
          <w:tab w:val="left" w:leader="none" w:pos="2160"/>
          <w:tab w:val="left" w:leader="none" w:pos="8460"/>
        </w:tabs>
        <w:jc w:val="both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32"/>
        </w:tabs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Financial Analysis and Modeling 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LIST ARE EXAMPLES WRITE YOUR OWN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 pricing and hedging using Black-Scholes model, binomial trees, Monte Carlo simulations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Portfolio trading simulation, calculation of VaR and back testing analysis 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Bootstrapping for computing the yield curve, calculating duration and convexity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Fixed Income Analysis, Portfolio Optimization, Statistical Modelling, Stochastic Process, Time Series Analysis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Valuation and Hedging of Derivatives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32"/>
        </w:tabs>
        <w:jc w:val="both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Computer Programming Skills, Industry Tools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tabs>
          <w:tab w:val="left" w:leader="none" w:pos="432"/>
          <w:tab w:val="left" w:leader="none" w:pos="8460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(THESE ARE EXAMPLES, PLEASE EDIT)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tabs>
          <w:tab w:val="left" w:leader="none" w:pos="432"/>
          <w:tab w:val="left" w:leader="none" w:pos="8460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Proficient with: Python, R, Excel VBA, Power BI, Bloomberg Terminal, FactSet 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tabs>
          <w:tab w:val="left" w:leader="none" w:pos="432"/>
          <w:tab w:val="left" w:leader="none" w:pos="8460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using: MATLAB, SQL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jc w:val="both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tabs>
          <w:tab w:val="left" w:leader="none" w:pos="360"/>
          <w:tab w:val="left" w:leader="none" w:pos="8640"/>
        </w:tabs>
        <w:ind w:left="432" w:hanging="432"/>
        <w:jc w:val="both"/>
        <w:rPr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Morgan Stanley</w:t>
      </w:r>
      <w:r w:rsidDel="00000000" w:rsidR="00000000" w:rsidRPr="00000000">
        <w:rPr>
          <w:sz w:val="20"/>
          <w:szCs w:val="20"/>
          <w:rtl w:val="0"/>
        </w:rPr>
        <w:t xml:space="preserve">, New York, NY                                                                                                  June 2023 - Sept 2023</w:t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ind w:right="-122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Position, Department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720"/>
        </w:tabs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database and conducted analysis of internal rating templates</w:t>
        <w:tab/>
        <w:tab/>
        <w:tab/>
        <w:tab/>
        <w:t xml:space="preserve"> 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720"/>
        </w:tabs>
        <w:ind w:left="720" w:hanging="360"/>
        <w:jc w:val="both"/>
        <w:rPr>
          <w:smallCaps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Recalibrated regression models to improve template performance; prepared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ind w:left="720" w:firstLine="0"/>
        <w:jc w:val="both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0"/>
          <w:tab w:val="left" w:leader="none" w:pos="8640"/>
        </w:tabs>
        <w:jc w:val="both"/>
        <w:rPr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Bank of America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Atlanta, GA                                                                                                     June 2022 - Aug 2022</w:t>
      </w:r>
    </w:p>
    <w:p w:rsidR="00000000" w:rsidDel="00000000" w:rsidP="00000000" w:rsidRDefault="00000000" w:rsidRPr="00000000" w14:paraId="00000020">
      <w:pPr>
        <w:tabs>
          <w:tab w:val="left" w:leader="none" w:pos="345"/>
        </w:tabs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Banking Relationship Manager Assistant, Commercial Relationships Department</w:t>
        <w:tab/>
        <w:tab/>
        <w:tab/>
        <w:tab/>
        <w:t xml:space="preserve">   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720"/>
        </w:tabs>
        <w:ind w:left="720" w:hanging="360"/>
        <w:jc w:val="both"/>
        <w:rPr>
          <w:smallCaps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Collected financial data on over 500 clients and conducted trend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720"/>
        </w:tabs>
        <w:ind w:left="720" w:hanging="360"/>
        <w:jc w:val="both"/>
        <w:rPr>
          <w:smallCaps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performance evaluation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32"/>
          <w:tab w:val="left" w:leader="none" w:pos="2160"/>
          <w:tab w:val="left" w:leader="none" w:pos="8460"/>
        </w:tabs>
        <w:jc w:val="both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32"/>
        </w:tabs>
        <w:jc w:val="both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CFA, Level I, December 2021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Society of Actuaries (SOA), Exam P, September 2020</w:t>
      </w:r>
    </w:p>
    <w:p w:rsidR="00000000" w:rsidDel="00000000" w:rsidP="00000000" w:rsidRDefault="00000000" w:rsidRPr="00000000" w14:paraId="00000027">
      <w:pPr>
        <w:tabs>
          <w:tab w:val="left" w:leader="none" w:pos="432"/>
        </w:tabs>
        <w:ind w:left="650" w:hanging="65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32"/>
        </w:tabs>
        <w:ind w:left="650" w:hanging="650"/>
        <w:jc w:val="both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Coursework</w:t>
      </w:r>
    </w:p>
    <w:p w:rsidR="00000000" w:rsidDel="00000000" w:rsidP="00000000" w:rsidRDefault="00000000" w:rsidRPr="00000000" w14:paraId="00000029">
      <w:pPr>
        <w:tabs>
          <w:tab w:val="left" w:leader="none" w:pos="360"/>
        </w:tabs>
        <w:ind w:left="650" w:hanging="65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Fall 2023</w:t>
      </w:r>
      <w:r w:rsidDel="00000000" w:rsidR="00000000" w:rsidRPr="00000000">
        <w:rPr>
          <w:sz w:val="20"/>
          <w:szCs w:val="20"/>
          <w:rtl w:val="0"/>
        </w:rPr>
        <w:t xml:space="preserve">: Numerical Methods for Finance, Probability and Stochastic Processes, Options and Other Derivatives</w:t>
      </w:r>
    </w:p>
    <w:p w:rsidR="00000000" w:rsidDel="00000000" w:rsidP="00000000" w:rsidRDefault="00000000" w:rsidRPr="00000000" w14:paraId="0000002A">
      <w:pPr>
        <w:tabs>
          <w:tab w:val="left" w:leader="none" w:pos="360"/>
        </w:tabs>
        <w:ind w:left="650" w:hanging="650"/>
        <w:jc w:val="both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"/>
        </w:tabs>
        <w:ind w:left="650" w:hanging="650"/>
        <w:jc w:val="both"/>
        <w:rPr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Selected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Gray and C. K. Hansen, "Short-term electricity load forecasting with Time Series Analysis," 2017 IEEE International, Conference on Prognostics and Health Management (ICPHM), Dallas, TX, USA, 2017, pp. 214-221</w:t>
      </w:r>
    </w:p>
    <w:p w:rsidR="00000000" w:rsidDel="00000000" w:rsidP="00000000" w:rsidRDefault="00000000" w:rsidRPr="00000000" w14:paraId="0000002D">
      <w:pPr>
        <w:tabs>
          <w:tab w:val="left" w:leader="none" w:pos="360"/>
        </w:tabs>
        <w:ind w:left="650" w:hanging="65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60"/>
        </w:tabs>
        <w:ind w:left="650" w:hanging="650"/>
        <w:jc w:val="both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Research Experience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Series Analysis of Internet Traffic, University of Southern California, Spring 2012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60"/>
        </w:tabs>
        <w:jc w:val="both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Awards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C.L. Max Nikias Award for Academic Excellence (Top 1%), University of Southern California, 2012.</w:t>
      </w:r>
    </w:p>
    <w:p w:rsidR="00000000" w:rsidDel="00000000" w:rsidP="00000000" w:rsidRDefault="00000000" w:rsidRPr="00000000" w14:paraId="00000033">
      <w:pPr>
        <w:tabs>
          <w:tab w:val="left" w:leader="none" w:pos="360"/>
        </w:tabs>
        <w:jc w:val="both"/>
        <w:rPr>
          <w:smallCaps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60"/>
        </w:tabs>
        <w:ind w:left="650" w:hanging="650"/>
        <w:jc w:val="both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Activities and Interests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Founder and President, Quant Club, University of Southern California, 2017-2019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60"/>
        </w:tabs>
        <w:jc w:val="both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60"/>
        </w:tabs>
        <w:rPr>
          <w:smallCaps w:val="1"/>
          <w:sz w:val="16"/>
          <w:szCs w:val="16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Additional Languages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60"/>
        </w:tabs>
        <w:rPr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French (native speaker); Spanish (conversational)</w:t>
      </w:r>
    </w:p>
    <w:sectPr>
      <w:pgSz w:h="15840" w:w="12240" w:orient="portrait"/>
      <w:pgMar w:bottom="576" w:top="576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432"/>
      </w:tabs>
      <w:ind w:left="2160"/>
      <w:jc w:val="both"/>
    </w:pPr>
    <w:rPr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jc w:val="both"/>
    </w:pPr>
    <w:rPr>
      <w:b w:val="1"/>
      <w:i w:val="1"/>
    </w:rPr>
  </w:style>
  <w:style w:type="paragraph" w:styleId="Title">
    <w:name w:val="Title"/>
    <w:basedOn w:val="Normal"/>
    <w:next w:val="Normal"/>
    <w:pPr>
      <w:jc w:val="center"/>
    </w:pPr>
    <w:rPr>
      <w:rFonts w:ascii="Garamond" w:cs="Garamond" w:eastAsia="Garamond" w:hAnsi="Garamond"/>
      <w:b w:val="1"/>
      <w:smallCaps w:val="1"/>
      <w:sz w:val="40"/>
      <w:szCs w:val="40"/>
    </w:rPr>
  </w:style>
  <w:style w:type="paragraph" w:styleId="Normal" w:default="1">
    <w:name w:val="Normal"/>
    <w:qFormat w:val="1"/>
    <w:rsid w:val="00170D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170D6C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170D6C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170D6C"/>
    <w:pPr>
      <w:keepNext w:val="1"/>
      <w:spacing w:after="60" w:before="2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170D6C"/>
    <w:pPr>
      <w:keepNext w:val="1"/>
      <w:jc w:val="both"/>
      <w:outlineLvl w:val="3"/>
    </w:pPr>
    <w:rPr>
      <w:b w:val="1"/>
      <w:bCs w:val="1"/>
      <w:i w:val="1"/>
      <w:iCs w:val="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170D6C"/>
    <w:pPr>
      <w:keepNext w:val="1"/>
      <w:tabs>
        <w:tab w:val="left" w:pos="432"/>
      </w:tabs>
      <w:ind w:left="2160"/>
      <w:jc w:val="both"/>
      <w:outlineLvl w:val="4"/>
    </w:pPr>
    <w:rPr>
      <w:i w:val="1"/>
      <w:iCs w:val="1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170D6C"/>
    <w:pPr>
      <w:keepNext w:val="1"/>
      <w:jc w:val="both"/>
      <w:outlineLvl w:val="5"/>
    </w:pPr>
    <w:rPr>
      <w:b w:val="1"/>
      <w:bCs w:val="1"/>
      <w:i w:val="1"/>
      <w:i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70D6C"/>
    <w:pPr>
      <w:keepNext w:val="1"/>
      <w:pBdr>
        <w:top w:color="auto" w:space="1" w:sz="4" w:val="single"/>
        <w:bottom w:color="auto" w:space="1" w:sz="4" w:val="single"/>
      </w:pBdr>
      <w:tabs>
        <w:tab w:val="left" w:pos="7110"/>
      </w:tabs>
      <w:jc w:val="both"/>
      <w:outlineLvl w:val="6"/>
    </w:pPr>
    <w:rPr>
      <w:b w:val="1"/>
      <w:bCs w:val="1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70D6C"/>
    <w:pPr>
      <w:keepNext w:val="1"/>
      <w:tabs>
        <w:tab w:val="left" w:pos="2160"/>
        <w:tab w:val="left" w:pos="8820"/>
      </w:tabs>
      <w:jc w:val="both"/>
      <w:outlineLvl w:val="7"/>
    </w:pPr>
    <w:rPr>
      <w:i w:val="1"/>
      <w:iCs w:val="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70D6C"/>
    <w:pPr>
      <w:keepNext w:val="1"/>
      <w:jc w:val="both"/>
      <w:outlineLvl w:val="8"/>
    </w:pPr>
    <w:rPr>
      <w:b w:val="1"/>
      <w:bCs w:val="1"/>
      <w:small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661A4D"/>
    <w:rPr>
      <w:rFonts w:ascii="Cambria" w:cs="Cambria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sid w:val="00661A4D"/>
    <w:rPr>
      <w:rFonts w:ascii="Cambria" w:cs="Cambria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sid w:val="00661A4D"/>
    <w:rPr>
      <w:rFonts w:ascii="Cambria" w:cs="Cambria" w:hAnsi="Cambria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sid w:val="00661A4D"/>
    <w:rPr>
      <w:rFonts w:ascii="Calibri" w:cs="Calibri" w:hAnsi="Calibr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sid w:val="00661A4D"/>
    <w:rPr>
      <w:rFonts w:ascii="Calibri" w:cs="Calibri" w:hAnsi="Calibr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sid w:val="00661A4D"/>
    <w:rPr>
      <w:rFonts w:ascii="Calibri" w:cs="Calibri" w:hAnsi="Calibri"/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sid w:val="00661A4D"/>
    <w:rPr>
      <w:rFonts w:ascii="Calibri" w:cs="Calibri" w:hAnsi="Calibr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sid w:val="00661A4D"/>
    <w:rPr>
      <w:rFonts w:ascii="Calibri" w:cs="Calibri" w:hAnsi="Calibr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sid w:val="00661A4D"/>
    <w:rPr>
      <w:rFonts w:ascii="Cambria" w:cs="Cambria" w:hAnsi="Cambria"/>
    </w:rPr>
  </w:style>
  <w:style w:type="paragraph" w:styleId="Title">
    <w:name w:val="Title"/>
    <w:basedOn w:val="Normal"/>
    <w:link w:val="TitleChar"/>
    <w:uiPriority w:val="99"/>
    <w:qFormat w:val="1"/>
    <w:rsid w:val="00170D6C"/>
    <w:pPr>
      <w:jc w:val="center"/>
    </w:pPr>
    <w:rPr>
      <w:rFonts w:ascii="Garamond" w:cs="Garamond" w:hAnsi="Garamond"/>
      <w:b w:val="1"/>
      <w:bCs w:val="1"/>
      <w:smallCaps w:val="1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661A4D"/>
    <w:rPr>
      <w:rFonts w:ascii="Cambria" w:cs="Cambria" w:hAnsi="Cambria"/>
      <w:b w:val="1"/>
      <w:bCs w:val="1"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170D6C"/>
    <w:pPr>
      <w:tabs>
        <w:tab w:val="left" w:pos="432"/>
        <w:tab w:val="left" w:pos="2160"/>
        <w:tab w:val="left" w:pos="8460"/>
      </w:tabs>
      <w:ind w:left="2160"/>
    </w:pPr>
    <w:rPr>
      <w:i w:val="1"/>
      <w:iCs w:val="1"/>
      <w:sz w:val="20"/>
      <w:szCs w:val="20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locked w:val="1"/>
    <w:rsid w:val="00661A4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4B37A0"/>
    <w:rPr>
      <w:color w:val="800080"/>
      <w:u w:val="single"/>
    </w:rPr>
  </w:style>
  <w:style w:type="paragraph" w:styleId="ListParagraph">
    <w:name w:val="List Paragraph"/>
    <w:basedOn w:val="Normal"/>
    <w:uiPriority w:val="34"/>
    <w:qFormat w:val="1"/>
    <w:rsid w:val="008B614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B0003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B0003"/>
    <w:rPr>
      <w:rFonts w:ascii="Lucida Grande" w:cs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FD26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67F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gWBTo5M4jjJvScsHOln0H4Mig==">CgMxLjA4AHIhMWxvX2lEWlJMUkZaSFEyWHNxMUlWVzZDajZSMGdNbWpi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2021-06-10T16:54:00Z</dcterms:created>
</cp:coreProperties>
</file>