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Anura Wickramanayake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