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Kasuni Kumara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