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B3A5C"/>
          <w:sz w:val="38"/>
          <w:szCs w:val="38"/>
        </w:rPr>
        <w:t xml:space="preserve">Data Infrastructure and AI for Biomedical Imaging</w:t>
      </w:r>
    </w:p>
    <w:p>
      <w:pPr>
        <w:spacing w:after="40"/>
      </w:pPr>
      <w:r>
        <w:rPr>
          <w:rFonts w:ascii="Arial" w:cs="Arial" w:eastAsia="Arial" w:hAnsi="Arial"/>
          <w:i/>
          <w:iCs/>
          <w:color w:val="555555"/>
          <w:sz w:val="24"/>
          <w:szCs w:val="24"/>
        </w:rPr>
        <w:t xml:space="preserve">What We’re Building and How It Helps Your Research</w:t>
      </w:r>
    </w:p>
    <w:p>
      <w:pPr>
        <w:pBdr>
          <w:bottom w:val="single" w:color="2E5984" w:sz="6" w:space="4"/>
        </w:pBdr>
        <w:spacing w:after="260"/>
      </w:pPr>
      <w:r>
        <w:rPr>
          <w:rFonts w:ascii="Arial" w:cs="Arial" w:eastAsia="Arial" w:hAnsi="Arial"/>
          <w:color w:val="777777"/>
          <w:sz w:val="20"/>
          <w:szCs w:val="20"/>
        </w:rPr>
        <w:t xml:space="preserve">Program Summary for Principal Investigators — March 2026</w:t>
      </w:r>
    </w:p>
    <w:p>
      <w:pPr>
        <w:pStyle w:val="Heading1"/>
      </w:pPr>
      <w:r>
        <w:t xml:space="preserve">The Problem This Solves</w:t>
      </w:r>
    </w:p>
    <w:p>
      <w:pPr>
        <w:spacing w:after="140" w:line="276"/>
      </w:pPr>
      <w:r>
        <w:t xml:space="preserve">Research groups at biomaGUNE generate increasing volumes of imaging data — microscopy, preclinical MRI, CT, PET, SPECT — but there is no shared system for storing, finding, or reusing it. Analysis scripts live on individual laptops. When a postdoc leaves, their pipeline often leaves with them. Data management plans get written for compliance rather than utility. The result is duplicated effort, brittle knowledge transfer, and missed opportunities for cross-group collaboration. This program addresses those problems directly, starting with the practical infrastructure and working toward more ambitious scientific applications.</w:t>
      </w:r>
    </w:p>
    <w:p>
      <w:pPr>
        <w:pStyle w:val="Heading1"/>
      </w:pPr>
      <w:r>
        <w:t xml:space="preserve">FAIR Data Practices: Templates, Training, and Compliance</w:t>
      </w:r>
    </w:p>
    <w:p>
      <w:pPr>
        <w:spacing w:after="140" w:line="276"/>
      </w:pPr>
      <w:r>
        <w:rPr>
          <w:i/>
          <w:iCs/>
        </w:rPr>
        <w:t xml:space="preserve">Status: operational and rolling out.</w:t>
      </w:r>
    </w:p>
    <w:p>
      <w:pPr>
        <w:spacing w:after="140" w:line="276"/>
      </w:pPr>
      <w:r>
        <w:t xml:space="preserve">We have built and delivered a base data management plan template, an open-access publication archiving workflow with packaging templates, and a training program with follow-up office hours. An officialization package (master SOPs for data management, publication archiving, and policy updates) is in progress. The next step is systematic group-by-group onboarding with lightweight metrics so we can track adoption and demonstrate compliance to funders. What this means for PIs: a repeatable, low-overhead path to FAIR compliance for your projects, with templates and support rather than additional administrative burden.</w:t>
      </w:r>
    </w:p>
    <w:p>
      <w:pPr>
        <w:pStyle w:val="Heading1"/>
      </w:pPr>
      <w:r>
        <w:t xml:space="preserve">Imaging Repositories: Finding and Sharing Your Data</w:t>
      </w:r>
    </w:p>
    <w:p>
      <w:pPr>
        <w:spacing w:after="140" w:line="276"/>
      </w:pPr>
      <w:r>
        <w:rPr>
          <w:i/>
          <w:iCs/>
        </w:rPr>
        <w:t xml:space="preserve">Status: piloting now, operational within 12 months.</w:t>
      </w:r>
    </w:p>
    <w:p>
      <w:pPr>
        <w:spacing w:after="140" w:line="276"/>
      </w:pPr>
      <w:r>
        <w:t xml:space="preserve">We are deploying two complementary imaging servers: OMERO for microscopy data and XNAT for DICOM biomedical imaging (MRI, CT, PET, SPECT). Two pilot workflows are already running — one for microscopy and one for DICOM reconstructed outputs — testing ingestion, metadata conventions, and access controls. The goal is governed repositories where datasets are findable by other groups, shareable under appropriate controls, linked to publications, and ready for computational analysis. What this means for PIs: your imaging data lives in a searchable, backed-up system with controlled access rather than on a local hard drive. Datasets become citable and linkable to publications. Cross-group reuse becomes possible without emailing files.</w:t>
      </w:r>
    </w:p>
    <w:p>
      <w:pPr>
        <w:pStyle w:val="Heading1"/>
      </w:pPr>
      <w:r>
        <w:t xml:space="preserve">Validated AI Pipelines: From Scripts to Shared Services</w:t>
      </w:r>
    </w:p>
    <w:p>
      <w:pPr>
        <w:spacing w:after="140" w:line="276"/>
      </w:pPr>
      <w:r>
        <w:rPr>
          <w:i/>
          <w:iCs/>
        </w:rPr>
        <w:t xml:space="preserve">Status: first pipeline in active use, production framework being formalized.</w:t>
      </w:r>
    </w:p>
    <w:p>
      <w:pPr>
        <w:spacing w:after="140" w:line="276"/>
      </w:pPr>
      <w:r>
        <w:t xml:space="preserve">One segmentation pipeline is already in a real usage loop — researchers request analyses, provide feedback, and drive retraining cycles. We are formalizing this into a repeatable production model: containerized packaging, version tracking, quality assurance criteria, and validation against held-out data batches to test robustness. New pipelines will be built on open pretrained encoders (foundation models for pathology and 3D imaging) so we get strong baselines quickly without needing massive labeled datasets. Every pipeline includes uncertainty-aware outputs: rather than forcing a single answer, the system flags uncertain cases for expert review. What this means for PIs: you get access to validated, documented analysis tools that work across groups, with clear performance benchmarks and honest uncertainty reporting. When you include AI analysis in a grant proposal, you can point to reproducibility artifacts and validation reports rather than a graduate student’s notebook.</w:t>
      </w:r>
    </w:p>
    <w:p>
      <w:pPr>
        <w:pStyle w:val="Heading1"/>
      </w:pPr>
      <w:r>
        <w:t xml:space="preserve">How Your Group Plugs In</w:t>
      </w:r>
    </w:p>
    <w:p>
      <w:pPr>
        <w:spacing w:after="140" w:line="276"/>
      </w:pPr>
      <w:r>
        <w:t xml:space="preserve">The program is designed around a </w:t>
      </w:r>
      <w:r>
        <w:rPr>
          <w:b/>
          <w:bCs/>
        </w:rPr>
        <w:t xml:space="preserve">two-track funding pattern</w:t>
      </w:r>
      <w:r>
        <w:t xml:space="preserve">. Track A funds the institutional infrastructure described above. Track B funds PI-led scientific projects that use the infrastructure as work packages. This means that when you write a grant with a data management or imaging analysis component, the platform capabilities can be included as funded, supported work packages rather than unfunded promises. We are actively looking for anchor projects — groups with defined imaging datasets and scientific questions — that can serve as the first Track B demonstrations. If your group has multimodal data, longitudinal imaging series, or classification/segmentation needs that would benefit from validated pipelines and governed data access, this is designed for you.</w:t>
      </w:r>
    </w:p>
    <w:p>
      <w:pPr>
        <w:pStyle w:val="Heading1"/>
      </w:pPr>
      <w:r>
        <w:t xml:space="preserve">The Longer-Term Scientific Vision: Theory-Infused AI</w:t>
      </w:r>
    </w:p>
    <w:p>
      <w:pPr>
        <w:spacing w:after="140" w:line="276"/>
      </w:pPr>
      <w:r>
        <w:t xml:space="preserve">Beyond practical infrastructure, this program has a more ambitious scientific aim. Generative AI has demonstrated extraordinary power for learning complex patterns from data, but it produces descriptive models — correlations, not mechanisms. Mechanistic biological modeling provides causal structure but has always struggled with complexity, incomplete parameters, and limited predictive accuracy. We are developing a framework where these two approaches constrain each other: learned representations from imaging data define the feasible biological state space, while mechanistic equations (ODEs, PDEs, dynamical systems theory) govern how trajectories move through that space. The result is models that are data-powerful yet grounded in physics and biology.</w:t>
      </w:r>
    </w:p>
    <w:p>
      <w:pPr>
        <w:spacing w:after="140" w:line="276"/>
      </w:pPr>
      <w:r>
        <w:t xml:space="preserve">This is grounded in real expertise — the operational lead’s background is in nonlinear dynamics, statistical mechanics, and published dynamical models of biological systems — and a compute partnership with DIPC (Donostia International Physics Center) is identified. The practical applications, once the groundwork is laid, include predictive models for longitudinal imaging, digital-twin workflows for adaptive acquisition, and multimodal fusion through shared mechanistic latent spaces. These are 3-5 year ambitions that depend on the infrastructure described above, but they represent a distinctive scientific direction that few institutes in the region could pursue. For PIs with mechanistic questions and time-series imaging data, this opens a genuinely new analytical capability.</w:t>
      </w:r>
    </w:p>
    <w:p>
      <w:pPr>
        <w:pStyle w:val="Heading1"/>
      </w:pPr>
      <w:r>
        <w:t xml:space="preserve">What We Need from You</w:t>
      </w:r>
    </w:p>
    <w:p>
      <w:pPr>
        <w:spacing w:after="140" w:line="276"/>
      </w:pPr>
      <w:r>
        <w:t xml:space="preserve">This program succeeds through real adoption, not top-down mandates. What helps most right now: a named data contact in your group who can work with us on onboarding; willingness to pilot imaging server workflows on one of your active projects; and, if your science fits, interest in co-anchoring a Track B proposal where your research question drives the analysis and the platform provides the validated tools. We are building capability that serves your research — the more concrete the demand, the better the result.</w:t>
      </w:r>
    </w:p>
    <w:sectPr>
      <w:pgSz w:w="11906" w:h="16838" w:orient="portrait"/>
      <w:pgMar w:top="1300" w:right="1380" w:bottom="1100" w:left="13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4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2026-03-03T15:41:55.759Z</dcterms:created>
  <dcterms:modified xsi:type="dcterms:W3CDTF">2026-03-03T15:41:55.761Z</dcterms:modified>
</cp:coreProperties>
</file>

<file path=docProps/custom.xml><?xml version="1.0" encoding="utf-8"?>
<Properties xmlns="http://schemas.openxmlformats.org/officeDocument/2006/custom-properties" xmlns:vt="http://schemas.openxmlformats.org/officeDocument/2006/docPropsVTypes"/>
</file>