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39E8C" w14:textId="77777777" w:rsidR="006666B5" w:rsidRDefault="00000000">
      <w:pPr>
        <w:pStyle w:val="Heading1"/>
      </w:pPr>
      <w:bookmarkStart w:id="0" w:name="X70d2c71dc782d0d27a94a450f359e6bebe10ea9"/>
      <w:r>
        <w:t>Theory‑Infused AI for Biomedical Imaging at CIC biomaGUNE</w:t>
      </w:r>
    </w:p>
    <w:p w14:paraId="0DF641E5" w14:textId="77777777" w:rsidR="006666B5" w:rsidRDefault="00000000">
      <w:pPr>
        <w:pStyle w:val="Heading2"/>
      </w:pPr>
      <w:bookmarkStart w:id="1" w:name="vision"/>
      <w:r>
        <w:t>Vision</w:t>
      </w:r>
    </w:p>
    <w:p w14:paraId="3B4AAA49" w14:textId="453ABF5B" w:rsidR="006666B5" w:rsidRPr="00675E2A" w:rsidRDefault="00000000">
      <w:pPr>
        <w:pStyle w:val="FirstParagraph"/>
      </w:pPr>
      <w:r w:rsidRPr="00675E2A">
        <w:t>CIC biomaGUNE can lead a new field of computational biology that integrates nonlinear dynamics, statistical mechanics, and imaging‑focused generative AI. Our aim is to unify generative AI and multi‑scale biology into a practical paradigm of theory‑infused AI</w:t>
      </w:r>
      <w:r w:rsidR="00675E2A">
        <w:t xml:space="preserve"> - </w:t>
      </w:r>
      <w:r w:rsidRPr="00675E2A">
        <w:t>models that are data‑powerful yet constrained by physics and biology. The outcome is not just descriptive analytics but predictive models for biomedicine, comparable in reliability to those long established in chemistry and engineering.</w:t>
      </w:r>
    </w:p>
    <w:p w14:paraId="3A737FEC" w14:textId="77777777" w:rsidR="006666B5" w:rsidRDefault="00000000">
      <w:pPr>
        <w:pStyle w:val="Heading2"/>
      </w:pPr>
      <w:bookmarkStart w:id="2" w:name="core-premise"/>
      <w:bookmarkEnd w:id="1"/>
      <w:r>
        <w:t>Core Premise</w:t>
      </w:r>
    </w:p>
    <w:p w14:paraId="7BFF4C8F" w14:textId="0599CEC6" w:rsidR="006666B5" w:rsidRPr="00675E2A" w:rsidRDefault="00000000">
      <w:pPr>
        <w:pStyle w:val="FirstParagraph"/>
      </w:pPr>
      <w:r w:rsidRPr="00675E2A">
        <w:t>Generative AI in foundational physical‑world simulators, large language models, and image/video systems has shown that massive, heterogeneous examples</w:t>
      </w:r>
      <w:r w:rsidR="00675E2A">
        <w:t xml:space="preserve">, </w:t>
      </w:r>
      <w:r w:rsidRPr="00675E2A">
        <w:t>even from unstructured experiments</w:t>
      </w:r>
      <w:r w:rsidR="00675E2A">
        <w:t xml:space="preserve">, </w:t>
      </w:r>
      <w:r w:rsidRPr="00675E2A">
        <w:t>can robustly capture reality. By contrast, biological mechanistic modeling has often struggled with complexity, missing parameters, and limited predictive accuracy. We propose that generative AI can both inform and constrain mechanistic models: learned manifolds of feasible states guide and regularize first‑principles dynamics, yielding interpretable, testable predictions.</w:t>
      </w:r>
    </w:p>
    <w:p w14:paraId="0C290343" w14:textId="77777777" w:rsidR="006666B5" w:rsidRDefault="00000000">
      <w:pPr>
        <w:pStyle w:val="Heading2"/>
      </w:pPr>
      <w:bookmarkStart w:id="3" w:name="why-cic-biomagune"/>
      <w:bookmarkEnd w:id="2"/>
      <w:r>
        <w:t>Why CIC biomaGUNE</w:t>
      </w:r>
    </w:p>
    <w:p w14:paraId="1C6ED7D1" w14:textId="77777777" w:rsidR="006666B5" w:rsidRDefault="00000000">
      <w:pPr>
        <w:pStyle w:val="Compact"/>
        <w:numPr>
          <w:ilvl w:val="0"/>
          <w:numId w:val="2"/>
        </w:numPr>
      </w:pPr>
      <w:r>
        <w:rPr>
          <w:b/>
          <w:bCs/>
        </w:rPr>
        <w:t>Deep integration by design.</w:t>
      </w:r>
      <w:r>
        <w:t xml:space="preserve"> biomaGUNE has a track record at the interface of chemistry, biology, and materials science; a culture of multi‑disciplinary collaboration is core to our approach.</w:t>
      </w:r>
    </w:p>
    <w:p w14:paraId="635A226C" w14:textId="77777777" w:rsidR="006666B5" w:rsidRDefault="00000000">
      <w:pPr>
        <w:pStyle w:val="Compact"/>
        <w:numPr>
          <w:ilvl w:val="0"/>
          <w:numId w:val="2"/>
        </w:numPr>
      </w:pPr>
      <w:r>
        <w:rPr>
          <w:b/>
          <w:bCs/>
        </w:rPr>
        <w:t>Image‑centric and multi‑scale.</w:t>
      </w:r>
      <w:r>
        <w:t xml:space="preserve"> Our plan is rooted in imaging across scales. biomaGUNE operates leading technology platforms in </w:t>
      </w:r>
      <w:r>
        <w:rPr>
          <w:b/>
          <w:bCs/>
        </w:rPr>
        <w:t>microscopy</w:t>
      </w:r>
      <w:r>
        <w:t xml:space="preserve"> (e.g., confocal and fluorescence; expanding to whole‑slide and high‑resolution dynamic imaging) and </w:t>
      </w:r>
      <w:r>
        <w:rPr>
          <w:b/>
          <w:bCs/>
        </w:rPr>
        <w:t>biomedical imaging</w:t>
      </w:r>
      <w:r>
        <w:t xml:space="preserve"> (MRI, PET, SPECT, CT), recognized within Spain’s ICTS network.</w:t>
      </w:r>
    </w:p>
    <w:p w14:paraId="13E77D9A" w14:textId="0C8D31EC" w:rsidR="006666B5" w:rsidRDefault="00000000">
      <w:pPr>
        <w:pStyle w:val="Compact"/>
        <w:numPr>
          <w:ilvl w:val="0"/>
          <w:numId w:val="2"/>
        </w:numPr>
      </w:pPr>
      <w:r>
        <w:rPr>
          <w:b/>
          <w:bCs/>
        </w:rPr>
        <w:t>Mechanistic modeling expertise.</w:t>
      </w:r>
      <w:r>
        <w:t xml:space="preserve"> Ongoing </w:t>
      </w:r>
      <w:r>
        <w:rPr>
          <w:b/>
          <w:bCs/>
        </w:rPr>
        <w:t>molecular dynamics and first‑principles</w:t>
      </w:r>
      <w:r>
        <w:t xml:space="preserve"> projects (e.g., atomistic/quantum simulations of plasmonic nanoparticles; protein–nanomaterial interaction modeling) provide a strong </w:t>
      </w:r>
      <w:r w:rsidR="00675E2A">
        <w:t xml:space="preserve">background of </w:t>
      </w:r>
      <w:proofErr w:type="gramStart"/>
      <w:r w:rsidR="00675E2A">
        <w:t>theory based</w:t>
      </w:r>
      <w:proofErr w:type="gramEnd"/>
      <w:r w:rsidR="00675E2A">
        <w:t xml:space="preserve"> modeling</w:t>
      </w:r>
      <w:r>
        <w:t>.</w:t>
      </w:r>
    </w:p>
    <w:p w14:paraId="32CA33CB" w14:textId="77777777" w:rsidR="006666B5" w:rsidRDefault="00000000">
      <w:pPr>
        <w:pStyle w:val="Compact"/>
        <w:numPr>
          <w:ilvl w:val="0"/>
          <w:numId w:val="2"/>
        </w:numPr>
      </w:pPr>
      <w:r>
        <w:rPr>
          <w:b/>
          <w:bCs/>
        </w:rPr>
        <w:t>Compute partnerships.</w:t>
      </w:r>
      <w:r>
        <w:t xml:space="preserve"> The partnership with </w:t>
      </w:r>
      <w:r>
        <w:rPr>
          <w:b/>
          <w:bCs/>
        </w:rPr>
        <w:t>DIPC</w:t>
      </w:r>
      <w:r>
        <w:t xml:space="preserve"> in Donostia–San Sebastián brings theoretical physics depth and significant compute (including large‑scale GPUs) for AI development.</w:t>
      </w:r>
    </w:p>
    <w:p w14:paraId="1231CB17" w14:textId="77777777" w:rsidR="006666B5" w:rsidRDefault="00000000">
      <w:pPr>
        <w:pStyle w:val="Compact"/>
        <w:numPr>
          <w:ilvl w:val="0"/>
          <w:numId w:val="2"/>
        </w:numPr>
      </w:pPr>
      <w:r>
        <w:rPr>
          <w:b/>
          <w:bCs/>
        </w:rPr>
        <w:t>The gap—and our value.</w:t>
      </w:r>
      <w:r>
        <w:t xml:space="preserve"> What biomaGUNE lacks is a unified </w:t>
      </w:r>
      <w:r>
        <w:rPr>
          <w:b/>
          <w:bCs/>
        </w:rPr>
        <w:t>AI/ML infrastructure</w:t>
      </w:r>
      <w:r>
        <w:t xml:space="preserve"> spanning data management, model training, and deployment. What the wider </w:t>
      </w:r>
      <w:r>
        <w:lastRenderedPageBreak/>
        <w:t xml:space="preserve">community lacks is a </w:t>
      </w:r>
      <w:r>
        <w:rPr>
          <w:b/>
          <w:bCs/>
        </w:rPr>
        <w:t>general theoretical framework</w:t>
      </w:r>
      <w:r>
        <w:t xml:space="preserve"> for theory‑infused AI that turns biological data into </w:t>
      </w:r>
      <w:r w:rsidRPr="00675E2A">
        <w:t>predictive</w:t>
      </w:r>
      <w:r>
        <w:t xml:space="preserve"> models. We will deliver both.</w:t>
      </w:r>
    </w:p>
    <w:p w14:paraId="1B48EAC1" w14:textId="77777777" w:rsidR="006666B5" w:rsidRDefault="00000000">
      <w:pPr>
        <w:pStyle w:val="Heading2"/>
      </w:pPr>
      <w:bookmarkStart w:id="4" w:name="program-aims"/>
      <w:bookmarkEnd w:id="3"/>
      <w:r>
        <w:t>Program Aims</w:t>
      </w:r>
    </w:p>
    <w:p w14:paraId="5762A6D5" w14:textId="74ECA20D" w:rsidR="006666B5" w:rsidRDefault="00000000">
      <w:pPr>
        <w:pStyle w:val="FirstParagraph"/>
      </w:pPr>
      <w:r>
        <w:rPr>
          <w:b/>
          <w:bCs/>
        </w:rPr>
        <w:t>Aim 1 — Build FAIR</w:t>
      </w:r>
      <w:r w:rsidR="00675E2A">
        <w:rPr>
          <w:b/>
          <w:bCs/>
        </w:rPr>
        <w:t xml:space="preserve"> by design</w:t>
      </w:r>
      <w:r>
        <w:rPr>
          <w:b/>
          <w:bCs/>
        </w:rPr>
        <w:t>, Multimodal Imaging Data Infrastructure.</w:t>
      </w:r>
      <w:r>
        <w:t xml:space="preserve"> Establish OMERO/XNAT‑based pipelines, metadata standards, and MLOps for microscopy and biomedical imaging; enable reproducible analysis and secure sharing.</w:t>
      </w:r>
    </w:p>
    <w:p w14:paraId="7EA72679" w14:textId="398A62FE" w:rsidR="006666B5" w:rsidRDefault="00000000">
      <w:pPr>
        <w:pStyle w:val="BodyText"/>
      </w:pPr>
      <w:r>
        <w:rPr>
          <w:b/>
          <w:bCs/>
        </w:rPr>
        <w:t>Aim 2 — Develop Image‑Based AI Workflows for Current Use‑Cases.</w:t>
      </w:r>
      <w:r>
        <w:t xml:space="preserve"> Deliver robust baselines </w:t>
      </w:r>
      <w:r w:rsidR="00675E2A">
        <w:t>capabilities (e.g.,</w:t>
      </w:r>
      <w:r>
        <w:t xml:space="preserve"> </w:t>
      </w:r>
      <w:r w:rsidRPr="00675E2A">
        <w:t>segmentation, classification, and interpretation</w:t>
      </w:r>
      <w:r w:rsidR="00675E2A">
        <w:t>)</w:t>
      </w:r>
      <w:r>
        <w:t>, creating immediate value for internal users and datasets.</w:t>
      </w:r>
    </w:p>
    <w:p w14:paraId="6D7BDBC7" w14:textId="77777777" w:rsidR="006666B5" w:rsidRDefault="00000000">
      <w:pPr>
        <w:pStyle w:val="BodyText"/>
      </w:pPr>
      <w:r>
        <w:rPr>
          <w:b/>
          <w:bCs/>
        </w:rPr>
        <w:t>Aim 3 — Establish a Theoretical Framework Bridging Generative AI with Statistical Mechanics &amp; Nonlinear Dynamics.</w:t>
      </w:r>
      <w:r>
        <w:t xml:space="preserve"> Formalize </w:t>
      </w:r>
      <w:r w:rsidRPr="00675E2A">
        <w:t>manifold‑constrained dynamics</w:t>
      </w:r>
      <w:r>
        <w:t xml:space="preserve"> (entropy/probability viewpoints), physics‑informed latent ODE/PDE models, and principled regularization linking data to mechanisms.</w:t>
      </w:r>
    </w:p>
    <w:p w14:paraId="43AB49D1" w14:textId="77777777" w:rsidR="006666B5" w:rsidRDefault="00000000">
      <w:pPr>
        <w:pStyle w:val="BodyText"/>
      </w:pPr>
      <w:r>
        <w:rPr>
          <w:b/>
          <w:bCs/>
        </w:rPr>
        <w:t>Aim 4 — Enable Real‑Time and Predictive Imaging Applications.</w:t>
      </w:r>
      <w:r>
        <w:t xml:space="preserve"> Prototype </w:t>
      </w:r>
      <w:r w:rsidRPr="00675E2A">
        <w:t>digital‑twin</w:t>
      </w:r>
      <w:r>
        <w:t xml:space="preserve"> workflows for adaptive acquisition and individualized predictions in preclinical settings; demonstrate decision support in live imaging experiments.</w:t>
      </w:r>
    </w:p>
    <w:p w14:paraId="1D3BBFC1" w14:textId="77777777" w:rsidR="006666B5" w:rsidRDefault="00000000">
      <w:pPr>
        <w:pStyle w:val="Heading2"/>
      </w:pPr>
      <w:bookmarkStart w:id="5" w:name="phased-roadmap"/>
      <w:bookmarkEnd w:id="4"/>
      <w:r>
        <w:t>Phased Roadmap</w:t>
      </w:r>
    </w:p>
    <w:p w14:paraId="18380703" w14:textId="77777777" w:rsidR="006666B5" w:rsidRDefault="00000000">
      <w:pPr>
        <w:pStyle w:val="Heading3"/>
      </w:pPr>
      <w:bookmarkStart w:id="6" w:name="phase-i-12-years-foundations"/>
      <w:r>
        <w:t>Phase I (1–2 years): Foundations</w:t>
      </w:r>
    </w:p>
    <w:p w14:paraId="0708305E" w14:textId="693D7943" w:rsidR="00675E2A" w:rsidRDefault="00000000">
      <w:pPr>
        <w:pStyle w:val="FirstParagraph"/>
      </w:pPr>
      <w:r>
        <w:t>Focus on achievable infrastructure and early proofs of concept.</w:t>
      </w:r>
    </w:p>
    <w:p w14:paraId="7E012B32" w14:textId="450FB7BA" w:rsidR="00675E2A" w:rsidRDefault="00000000" w:rsidP="00675E2A">
      <w:pPr>
        <w:pStyle w:val="FirstParagraph"/>
        <w:numPr>
          <w:ilvl w:val="0"/>
          <w:numId w:val="5"/>
        </w:numPr>
      </w:pPr>
      <w:r w:rsidRPr="00675E2A">
        <w:rPr>
          <w:b/>
          <w:bCs/>
        </w:rPr>
        <w:t>Data Infrastructure &amp; FAIR Pipelines</w:t>
      </w:r>
      <w:r>
        <w:rPr>
          <w:b/>
          <w:bCs/>
        </w:rPr>
        <w:t>:</w:t>
      </w:r>
      <w:r>
        <w:t xml:space="preserve"> standardize metadata; </w:t>
      </w:r>
      <w:r w:rsidR="00675E2A">
        <w:t>d</w:t>
      </w:r>
      <w:r w:rsidR="00675E2A">
        <w:t>eploy OMERO/XNAT</w:t>
      </w:r>
      <w:r w:rsidR="00675E2A">
        <w:t xml:space="preserve"> on existing data</w:t>
      </w:r>
      <w:r w:rsidR="00675E2A">
        <w:t>;</w:t>
      </w:r>
      <w:r w:rsidR="00675E2A">
        <w:t xml:space="preserve"> </w:t>
      </w:r>
      <w:r>
        <w:t xml:space="preserve">stand up versioned analysis and basic MLOps. </w:t>
      </w:r>
      <w:r w:rsidR="00675E2A">
        <w:t>–</w:t>
      </w:r>
      <w:r>
        <w:t xml:space="preserve"> </w:t>
      </w:r>
    </w:p>
    <w:p w14:paraId="6EC2E908" w14:textId="3CCB7383" w:rsidR="00675E2A" w:rsidRDefault="00000000" w:rsidP="00675E2A">
      <w:pPr>
        <w:pStyle w:val="FirstParagraph"/>
        <w:numPr>
          <w:ilvl w:val="0"/>
          <w:numId w:val="5"/>
        </w:numPr>
      </w:pPr>
      <w:r>
        <w:rPr>
          <w:b/>
          <w:bCs/>
        </w:rPr>
        <w:t>Core Team &amp; Skills:</w:t>
      </w:r>
      <w:r>
        <w:t xml:space="preserve"> Assemble a compact AI/Modeling unit</w:t>
      </w:r>
      <w:r w:rsidR="00675E2A">
        <w:t xml:space="preserve"> (computational biologists, mathematicians, computer scientists)</w:t>
      </w:r>
      <w:r>
        <w:t xml:space="preserve">; training and joint seminars with microscopy/imaging platforms. </w:t>
      </w:r>
      <w:r w:rsidR="00675E2A">
        <w:t>–</w:t>
      </w:r>
      <w:r>
        <w:t xml:space="preserve"> </w:t>
      </w:r>
    </w:p>
    <w:p w14:paraId="2A50C30D" w14:textId="77777777" w:rsidR="00675E2A" w:rsidRDefault="00000000" w:rsidP="00675E2A">
      <w:pPr>
        <w:pStyle w:val="FirstParagraph"/>
        <w:numPr>
          <w:ilvl w:val="0"/>
          <w:numId w:val="5"/>
        </w:numPr>
      </w:pPr>
      <w:r>
        <w:rPr>
          <w:b/>
          <w:bCs/>
        </w:rPr>
        <w:t>Theory Groundwork:</w:t>
      </w:r>
      <w:r>
        <w:t xml:space="preserve"> Develop initial formulations (e.g., entropy as a measure of feasible latent occupancy; bounding dynamics to learned manifolds; variable‑transformed dynamics in learned latent spaces). </w:t>
      </w:r>
    </w:p>
    <w:p w14:paraId="3871C4E6" w14:textId="4D900D08" w:rsidR="006666B5" w:rsidRDefault="00000000" w:rsidP="00675E2A">
      <w:pPr>
        <w:pStyle w:val="FirstParagraph"/>
        <w:numPr>
          <w:ilvl w:val="0"/>
          <w:numId w:val="5"/>
        </w:numPr>
      </w:pPr>
      <w:r>
        <w:rPr>
          <w:b/>
          <w:bCs/>
        </w:rPr>
        <w:t>Early Wins:</w:t>
      </w:r>
      <w:r>
        <w:t xml:space="preserve"> Internal tools for segmentation/quantification; one pilot latent‑dynamics model on a real dataset.</w:t>
      </w:r>
    </w:p>
    <w:p w14:paraId="7F9B77FA" w14:textId="77777777" w:rsidR="006666B5" w:rsidRDefault="00000000">
      <w:pPr>
        <w:pStyle w:val="Heading3"/>
      </w:pPr>
      <w:bookmarkStart w:id="7" w:name="Xb04f1c9d814a0766ccb0f19186d41384fc1f350"/>
      <w:bookmarkEnd w:id="6"/>
      <w:r>
        <w:t>Phase II (3–5 years): Methods &amp; Translational Collaborations</w:t>
      </w:r>
    </w:p>
    <w:p w14:paraId="12F94A89" w14:textId="77777777" w:rsidR="00675E2A" w:rsidRDefault="00000000" w:rsidP="00675E2A">
      <w:pPr>
        <w:pStyle w:val="FirstParagraph"/>
      </w:pPr>
      <w:r>
        <w:t xml:space="preserve">Move from foundations to advanced methods and translational pilots. </w:t>
      </w:r>
    </w:p>
    <w:p w14:paraId="51D26B92" w14:textId="77777777" w:rsidR="00675E2A" w:rsidRDefault="00000000" w:rsidP="00675E2A">
      <w:pPr>
        <w:pStyle w:val="FirstParagraph"/>
        <w:numPr>
          <w:ilvl w:val="0"/>
          <w:numId w:val="6"/>
        </w:numPr>
      </w:pPr>
      <w:r>
        <w:rPr>
          <w:b/>
          <w:bCs/>
        </w:rPr>
        <w:t>Advanced Methods:</w:t>
      </w:r>
      <w:r>
        <w:t xml:space="preserve"> Physics‑infused generative models; multimodal fusion (microscopy ↔ PET/MRI/optical); uncertainty and interpretability by design.</w:t>
      </w:r>
    </w:p>
    <w:p w14:paraId="35A2F498" w14:textId="77777777" w:rsidR="00675E2A" w:rsidRDefault="00000000" w:rsidP="00675E2A">
      <w:pPr>
        <w:pStyle w:val="FirstParagraph"/>
        <w:numPr>
          <w:ilvl w:val="0"/>
          <w:numId w:val="6"/>
        </w:numPr>
      </w:pPr>
      <w:r>
        <w:rPr>
          <w:b/>
          <w:bCs/>
        </w:rPr>
        <w:lastRenderedPageBreak/>
        <w:t>Multi‑Scale Integration:</w:t>
      </w:r>
      <w:r>
        <w:t xml:space="preserve"> Link micro‑ to meso‑/macro‑scale signals via constrained latent dynamics; validate against longitudinal imaging.</w:t>
      </w:r>
    </w:p>
    <w:p w14:paraId="368DE94F" w14:textId="77777777" w:rsidR="00675E2A" w:rsidRDefault="00000000" w:rsidP="00675E2A">
      <w:pPr>
        <w:pStyle w:val="FirstParagraph"/>
        <w:numPr>
          <w:ilvl w:val="0"/>
          <w:numId w:val="6"/>
        </w:numPr>
      </w:pPr>
      <w:r>
        <w:rPr>
          <w:b/>
          <w:bCs/>
        </w:rPr>
        <w:t>Translational Testbeds:</w:t>
      </w:r>
      <w:r>
        <w:t xml:space="preserve"> Co‑develop with internal platforms; flexible pilots with CIC bioGUNE, clinical partners, and compute centers when natural.</w:t>
      </w:r>
    </w:p>
    <w:p w14:paraId="0A56BC84" w14:textId="30DD5836" w:rsidR="006666B5" w:rsidRDefault="00000000" w:rsidP="00675E2A">
      <w:pPr>
        <w:pStyle w:val="FirstParagraph"/>
        <w:numPr>
          <w:ilvl w:val="0"/>
          <w:numId w:val="6"/>
        </w:numPr>
      </w:pPr>
      <w:r>
        <w:rPr>
          <w:b/>
          <w:bCs/>
        </w:rPr>
        <w:t>Theory in Practice:</w:t>
      </w:r>
      <w:r>
        <w:t xml:space="preserve"> Demonstrate predictive improvements from theory‑infused constraints on existing datasets.</w:t>
      </w:r>
    </w:p>
    <w:p w14:paraId="3C8ACFD2" w14:textId="77777777" w:rsidR="006666B5" w:rsidRDefault="00000000">
      <w:pPr>
        <w:pStyle w:val="Heading3"/>
      </w:pPr>
      <w:bookmarkStart w:id="8" w:name="X2c9d84e107e31a00ed2c98b417a1325d9e0bb09"/>
      <w:bookmarkEnd w:id="7"/>
      <w:r>
        <w:t>Phase III (5–10 years): Unified Platforms &amp; Impact at Scale</w:t>
      </w:r>
    </w:p>
    <w:p w14:paraId="37C3100A" w14:textId="77777777" w:rsidR="00675E2A" w:rsidRDefault="00000000">
      <w:pPr>
        <w:pStyle w:val="FirstParagraph"/>
      </w:pPr>
      <w:r>
        <w:t>Consolidate methods into user‑facing platforms and scale impact.</w:t>
      </w:r>
    </w:p>
    <w:p w14:paraId="5A137841" w14:textId="77777777" w:rsidR="00675E2A" w:rsidRDefault="00000000" w:rsidP="00675E2A">
      <w:pPr>
        <w:pStyle w:val="FirstParagraph"/>
        <w:numPr>
          <w:ilvl w:val="0"/>
          <w:numId w:val="7"/>
        </w:numPr>
      </w:pPr>
      <w:r>
        <w:rPr>
          <w:b/>
          <w:bCs/>
        </w:rPr>
        <w:t>Unified Platform:</w:t>
      </w:r>
      <w:r>
        <w:t xml:space="preserve"> A researcher‑facing suite for constrained latent‑dynamics, with uncertainty/interpretability and push‑button reproducibility.</w:t>
      </w:r>
    </w:p>
    <w:p w14:paraId="0979324C" w14:textId="204777B5" w:rsidR="00675E2A" w:rsidRDefault="00000000" w:rsidP="00675E2A">
      <w:pPr>
        <w:pStyle w:val="FirstParagraph"/>
        <w:numPr>
          <w:ilvl w:val="0"/>
          <w:numId w:val="7"/>
        </w:numPr>
      </w:pPr>
      <w:r>
        <w:rPr>
          <w:b/>
          <w:bCs/>
        </w:rPr>
        <w:t>Federated Expansion:</w:t>
      </w:r>
      <w:r>
        <w:t xml:space="preserve"> Interoperate with national ICTS/ReDIB nodes; share models and data products under open‑science principles.</w:t>
      </w:r>
    </w:p>
    <w:p w14:paraId="34538A26" w14:textId="1DD4D843" w:rsidR="006666B5" w:rsidRDefault="00000000" w:rsidP="00675E2A">
      <w:pPr>
        <w:pStyle w:val="FirstParagraph"/>
        <w:numPr>
          <w:ilvl w:val="0"/>
          <w:numId w:val="7"/>
        </w:numPr>
      </w:pPr>
      <w:r>
        <w:rPr>
          <w:b/>
          <w:bCs/>
        </w:rPr>
        <w:t>High‑Impact Use‑Cases:</w:t>
      </w:r>
      <w:r>
        <w:t xml:space="preserve"> Real‑time adaptive imaging; organ‑ or disease‑focused digital twins; open tools adopted beyond biomaGUNE.</w:t>
      </w:r>
    </w:p>
    <w:p w14:paraId="03E7AC00" w14:textId="77777777" w:rsidR="006666B5" w:rsidRDefault="00000000">
      <w:pPr>
        <w:pStyle w:val="Heading2"/>
      </w:pPr>
      <w:bookmarkStart w:id="9" w:name="X60ee9f1900001bcad3fc1721b739130cbb446b0"/>
      <w:bookmarkEnd w:id="5"/>
      <w:bookmarkEnd w:id="8"/>
      <w:r>
        <w:t>Alignment with Regional, National, and European Priorities</w:t>
      </w:r>
    </w:p>
    <w:p w14:paraId="69BE2775" w14:textId="77777777" w:rsidR="006666B5" w:rsidRDefault="00000000">
      <w:pPr>
        <w:pStyle w:val="Compact"/>
        <w:numPr>
          <w:ilvl w:val="0"/>
          <w:numId w:val="3"/>
        </w:numPr>
      </w:pPr>
      <w:r>
        <w:rPr>
          <w:b/>
          <w:bCs/>
        </w:rPr>
        <w:t>Basque (RIS3 / BRTA):</w:t>
      </w:r>
      <w:r>
        <w:t xml:space="preserve"> Serves </w:t>
      </w:r>
      <w:r w:rsidRPr="00675E2A">
        <w:t>Bio‑Health and Advanced Manufacturing/Nanotech with a strong digitalization layer—FAIR imaging data, generative‑AI analytics, and translational tools for nanomedicine. Natural fit for Elkartek/Hazitek consortia; creates local software/data value chains.</w:t>
      </w:r>
    </w:p>
    <w:p w14:paraId="3EFC9AD5" w14:textId="77777777" w:rsidR="006666B5" w:rsidRDefault="00000000">
      <w:pPr>
        <w:pStyle w:val="Compact"/>
        <w:numPr>
          <w:ilvl w:val="0"/>
          <w:numId w:val="3"/>
        </w:numPr>
      </w:pPr>
      <w:r>
        <w:rPr>
          <w:b/>
          <w:bCs/>
        </w:rPr>
        <w:t>Spain (ICTS / AEI / ISCIII):</w:t>
      </w:r>
      <w:r>
        <w:t xml:space="preserve"> Upgrades an</w:t>
      </w:r>
      <w:r w:rsidRPr="00675E2A">
        <w:t>alysis on ICTS‑linked imaging infrastructure (ReDIB node), aligning with national goals in AI, personalized medicine, and research modernization. Fundable via AEI (AI/modeling) and ISCIII (biomedical data) programs.</w:t>
      </w:r>
    </w:p>
    <w:p w14:paraId="0A2A6148" w14:textId="1B950E88" w:rsidR="006666B5" w:rsidRDefault="00000000" w:rsidP="00675E2A">
      <w:pPr>
        <w:pStyle w:val="Compact"/>
        <w:numPr>
          <w:ilvl w:val="0"/>
          <w:numId w:val="3"/>
        </w:numPr>
      </w:pPr>
      <w:r>
        <w:rPr>
          <w:b/>
          <w:bCs/>
        </w:rPr>
        <w:t>Europe (Horizon / GenAI4EU / EOSC):</w:t>
      </w:r>
      <w:r>
        <w:t xml:space="preserve"> </w:t>
      </w:r>
      <w:r w:rsidRPr="00675E2A">
        <w:t>Maps to Horizon Europe Health &amp; Digital (multimodal data, trustworthy AI, digital twins) and GenAI4EU opportunities; commits to EOSC‑style openness; can leverage EuroHPC at scale.</w:t>
      </w:r>
      <w:bookmarkEnd w:id="0"/>
      <w:bookmarkEnd w:id="9"/>
    </w:p>
    <w:sectPr w:rsidR="006666B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E62093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A8C737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5BDE1B90"/>
    <w:multiLevelType w:val="hybridMultilevel"/>
    <w:tmpl w:val="12E688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1D57819"/>
    <w:multiLevelType w:val="hybridMultilevel"/>
    <w:tmpl w:val="537E83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B110E09"/>
    <w:multiLevelType w:val="hybridMultilevel"/>
    <w:tmpl w:val="259413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35473798">
    <w:abstractNumId w:val="0"/>
  </w:num>
  <w:num w:numId="2" w16cid:durableId="1684279294">
    <w:abstractNumId w:val="1"/>
  </w:num>
  <w:num w:numId="3" w16cid:durableId="1960136691">
    <w:abstractNumId w:val="1"/>
  </w:num>
  <w:num w:numId="4" w16cid:durableId="1663046504">
    <w:abstractNumId w:val="1"/>
  </w:num>
  <w:num w:numId="5" w16cid:durableId="502404793">
    <w:abstractNumId w:val="3"/>
  </w:num>
  <w:num w:numId="6" w16cid:durableId="1538548912">
    <w:abstractNumId w:val="4"/>
  </w:num>
  <w:num w:numId="7" w16cid:durableId="10542346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6666B5"/>
    <w:rsid w:val="006666B5"/>
    <w:rsid w:val="00675E2A"/>
    <w:rsid w:val="00F6379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2F70E57C"/>
  <w15:docId w15:val="{22A04238-D31E-5540-BEDA-5143A6E0F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891</Words>
  <Characters>5253</Characters>
  <Application>Microsoft Office Word</Application>
  <DocSecurity>0</DocSecurity>
  <Lines>159</Lines>
  <Paragraphs>73</Paragraphs>
  <ScaleCrop>false</ScaleCrop>
  <Company/>
  <LinksUpToDate>false</LinksUpToDate>
  <CharactersWithSpaces>6071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Ryan Anastas Tasseff</cp:lastModifiedBy>
  <cp:revision>2</cp:revision>
  <dcterms:created xsi:type="dcterms:W3CDTF">2025-09-30T15:10:00Z</dcterms:created>
  <dcterms:modified xsi:type="dcterms:W3CDTF">2025-09-30T15:23:00Z</dcterms:modified>
</cp:coreProperties>
</file>