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B3A5C"/>
          <w:sz w:val="38"/>
          <w:szCs w:val="38"/>
        </w:rPr>
        <w:t xml:space="preserve">Theory-Infused AI for Biomedical Imaging</w:t>
      </w:r>
    </w:p>
    <w:p>
      <w:pPr>
        <w:spacing w:after="40"/>
      </w:pPr>
      <w:r>
        <w:rPr>
          <w:rFonts w:ascii="Arial" w:cs="Arial" w:eastAsia="Arial" w:hAnsi="Arial"/>
          <w:i/>
          <w:iCs/>
          <w:color w:val="555555"/>
          <w:sz w:val="24"/>
          <w:szCs w:val="24"/>
        </w:rPr>
        <w:t xml:space="preserve">A Funding Strategy at CIC biomaGUNE</w:t>
      </w:r>
    </w:p>
    <w:p>
      <w:pPr>
        <w:pBdr>
          <w:bottom w:val="single" w:color="2E5984" w:sz="6" w:space="4"/>
        </w:pBdr>
        <w:spacing w:after="260"/>
      </w:pPr>
      <w:r>
        <w:rPr>
          <w:rFonts w:ascii="Arial" w:cs="Arial" w:eastAsia="Arial" w:hAnsi="Arial"/>
          <w:color w:val="777777"/>
          <w:sz w:val="20"/>
          <w:szCs w:val="20"/>
        </w:rPr>
        <w:t xml:space="preserve">Assessment Summary — March 2026</w:t>
      </w:r>
    </w:p>
    <w:p>
      <w:pPr>
        <w:pStyle w:val="Heading1"/>
      </w:pPr>
      <w:r>
        <w:t xml:space="preserve">What This Is</w:t>
      </w:r>
    </w:p>
    <w:p>
      <w:pPr>
        <w:spacing w:after="140" w:line="276"/>
      </w:pPr>
      <w:r>
        <w:t xml:space="preserve">This is a </w:t>
      </w:r>
      <w:r>
        <w:rPr>
          <w:b/>
          <w:bCs/>
        </w:rPr>
        <w:t xml:space="preserve">funding positioning dossier</w:t>
      </w:r>
      <w:r>
        <w:t xml:space="preserve"> — a set of reusable, call-agnostic documents designed to support grant submissions across Basque, Spanish, and EU funding agencies. The goal is to build durable institutional capability at CIC biomaGUNE (Donostia-San Sebastián) in five areas: FAIR data practices, governed imaging repositories (OMERO + XNAT), validated AI analysis pipelines, a theory-infused AI framework bridging generative AI with mechanistic modeling, and PI-led multimodal biomarker discovery. Rather than writing each proposal from scratch, the dossier provides modular building blocks — strategy narratives, technical module descriptions, evidence banks, team profiles, and templates — that can be assembled and tailored per call.</w:t>
      </w:r>
    </w:p>
    <w:p>
      <w:pPr>
        <w:pStyle w:val="Heading1"/>
      </w:pPr>
      <w:r>
        <w:t xml:space="preserve">The Core Strategic Idea</w:t>
      </w:r>
    </w:p>
    <w:p>
      <w:pPr>
        <w:spacing w:after="140" w:line="276"/>
      </w:pPr>
      <w:r>
        <w:t xml:space="preserve">The program uses a </w:t>
      </w:r>
      <w:r>
        <w:rPr>
          <w:b/>
          <w:bCs/>
        </w:rPr>
        <w:t xml:space="preserve">two-track proposal pattern</w:t>
      </w:r>
      <w:r>
        <w:t xml:space="preserve">. Track A covers institutional enablement: services, infrastructure, compliance, and adoption metrics — the kind of work that fits open-science and digital-infrastructure calls. Track B covers PI-anchored scientific projects where biological or translational aims are led by principal investigators, with platform capability packaged as funded work packages. Every Track A deliverable must be proven through at least one Track B anchor. This means the same underlying work can be credibly packaged for both infrastructure-focused and scientific research calls without contorting the narrative.</w:t>
      </w:r>
    </w:p>
    <w:p>
      <w:pPr>
        <w:spacing w:after="140" w:line="276"/>
      </w:pPr>
      <w:r>
        <w:t xml:space="preserve">The intellectual differentiator is a </w:t>
      </w:r>
      <w:r>
        <w:rPr>
          <w:b/>
          <w:bCs/>
        </w:rPr>
        <w:t xml:space="preserve">theory-infused AI framework</w:t>
      </w:r>
      <w:r>
        <w:t xml:space="preserve"> that bridges generative AI with first-principles biology. Generative AI has shown that massive examples can robustly capture reality, while mechanistic biological modeling has struggled with complexity and missing parameters. The theory-infused approach lets generative AI inform and constrain mechanistic models, while mechanistic structure regularizes and interprets learned representations. Three formulation pillars are defined: entropy as a measure of feasible latent occupancy (information-theoretic regularization of learned states), bounding dynamics to learned manifolds (constraining ODE/PDE models to data-derived state spaces), and variable-transformed dynamics in learned latent spaces (applying classical nonlinear dynamics tools directly on data-derived representations).</w:t>
      </w:r>
    </w:p>
    <w:p>
      <w:pPr>
        <w:pStyle w:val="Heading1"/>
      </w:pPr>
      <w:r>
        <w:t xml:space="preserve">What’s Strong</w:t>
      </w:r>
    </w:p>
    <w:p>
      <w:pPr>
        <w:spacing w:after="140" w:line="276"/>
      </w:pPr>
      <w:r>
        <w:rPr>
          <w:b/>
          <w:bCs/>
        </w:rPr>
        <w:t xml:space="preserve">Modularity is real, not cosmetic. </w:t>
      </w:r>
      <w:r>
        <w:t xml:space="preserve">Five module fiches are scoped tightly enough to mix-and-match per call but coherent enough to tell a single program story. Each carries explicit guardrails — for example, the multimodal biomarkers module states plainly that it should not lead any proposal until named PI anchors and defined datasets are in place. This discipline is unusual and signals operational maturity.</w:t>
      </w:r>
    </w:p>
    <w:p>
      <w:pPr>
        <w:spacing w:after="140" w:line="276"/>
      </w:pPr>
      <w:r>
        <w:rPr>
          <w:b/>
          <w:bCs/>
        </w:rPr>
        <w:t xml:space="preserve">The infrastructure side is evidence-backed and operational. </w:t>
      </w:r>
      <w:r>
        <w:t xml:space="preserve">Two imaging-RDM pilots are running (microscopy and DICOM), a data management governance package is in formalization, and an AI segmentation pipeline (SegOid) is already in a real user-driven iteration cycle. These are proof points, not plans. The operational lead brings 30+ publications (PNAS, PLoS Comp Bio, Sci Rep), a US patent, experience managing $1M+ budgets at P&amp;G, and direct background in computational biology and multiscale simulation.</w:t>
      </w:r>
    </w:p>
    <w:p>
      <w:pPr>
        <w:spacing w:after="140" w:line="276"/>
      </w:pPr>
      <w:r>
        <w:rPr>
          <w:b/>
          <w:bCs/>
        </w:rPr>
        <w:t xml:space="preserve">The execution doctrine is honest. </w:t>
      </w:r>
      <w:r>
        <w:t xml:space="preserve">The dossier commits to “option creation then follow pull,” strict work-in-progress limits, and lighthouse-first deployment — no institute-wide rollouts without demonstrated adoption. This reads as something actually practiced, backed by an operational Kanban and weekly funding triage routine, not aspirational project-management language.</w:t>
      </w:r>
    </w:p>
    <w:p>
      <w:pPr>
        <w:spacing w:after="140" w:line="276"/>
      </w:pPr>
      <w:r>
        <w:rPr>
          <w:b/>
          <w:bCs/>
        </w:rPr>
        <w:t xml:space="preserve">The theory-infused AI positioning opens funding lanes that pure infrastructure cannot access. </w:t>
      </w:r>
      <w:r>
        <w:t xml:space="preserve">The operational lead’s PhD in nonlinear dynamics (NSF IGERT Fellow, Cornell) and publication record in ODE/PDE biological modeling and statistical mechanics-inspired cell fate analysis make the theory-AI module credible rather than aspirational. This extends the program’s reach into AEI modeling calls, Horizon Digital/AI, GenAI4EU, and EuroHPC — none of which a standard data management proposal could access.</w:t>
      </w:r>
    </w:p>
    <w:p>
      <w:pPr>
        <w:pStyle w:val="Heading1"/>
      </w:pPr>
      <w:r>
        <w:t xml:space="preserve">Where the Risks Are</w:t>
      </w:r>
    </w:p>
    <w:p>
      <w:pPr>
        <w:spacing w:after="140" w:line="276"/>
      </w:pPr>
      <w:r>
        <w:rPr>
          <w:b/>
          <w:bCs/>
        </w:rPr>
        <w:t xml:space="preserve">The maturity gap between modules. </w:t>
      </w:r>
      <w:r>
        <w:t xml:space="preserve">The infrastructure modules are operational with real evidence. The science modules (theory-infused AI, multimodal biomarkers) remain at concept stage. Track A proposals can go out now, but Track B proposals for theory-AI work need the first pilot on real imaging data before they’re competitive. The Phase I deliverable of “one pilot latent-dynamics model on real data” is the critical gate for unlocking the program’s full funding potential.</w:t>
      </w:r>
    </w:p>
    <w:p>
      <w:pPr>
        <w:spacing w:after="140" w:line="276"/>
      </w:pPr>
      <w:r>
        <w:rPr>
          <w:b/>
          <w:bCs/>
        </w:rPr>
        <w:t xml:space="preserve">Team depth. </w:t>
      </w:r>
      <w:r>
        <w:t xml:space="preserve">Technical leadership is essentially one person. The CV is strong and directly relevant, but reviewers for larger collaborative grants (€500k+) will expect named co-PIs and confirmed collaborators. The DIPC compute partnership (theoretical physics depth and large-scale GPU access in Donostia-San Sebastián) is identified but not yet formalized; core team assembly is listed as a deliverable rather than an asset in hand. Formalizing this collaboration with named individuals and recruiting at least one computational co-PI is a near-term priority.</w:t>
      </w:r>
    </w:p>
    <w:p>
      <w:pPr>
        <w:spacing w:after="140" w:line="276"/>
      </w:pPr>
      <w:r>
        <w:rPr>
          <w:b/>
          <w:bCs/>
        </w:rPr>
        <w:t xml:space="preserve">Grant scouting scalability. </w:t>
      </w:r>
      <w:r>
        <w:t xml:space="preserve">An LLM-powered grant scanner is fully specified but unbuilt. The decision to defer implementation until the manual weekly triage proves the workflow is sound, but the system’s automation remains aspirational. A minor point given the manual routine is already operational.</w:t>
      </w:r>
    </w:p>
    <w:p>
      <w:pPr>
        <w:pStyle w:val="Heading1"/>
      </w:pPr>
      <w:r>
        <w:t xml:space="preserve">Bottom Line</w:t>
      </w:r>
    </w:p>
    <w:p>
      <w:pPr>
        <w:spacing w:after="140" w:line="276"/>
      </w:pPr>
      <w:r>
        <w:t xml:space="preserve">This is a funding positioning effort that is ahead of where most research programs are at a comparable stage. The strategy is clear and modular, the evidence is honest about what exists versus what’s planned, and the scientific differentiator — theory-infused AI grounded in nonlinear dynamics and statistical mechanics — is rooted in real expertise rather than buzzwords. The infrastructure side is ready to pursue calls now. The main work ahead is converting the concept-stage modules into competitive proposals by landing the first real-data pilot, formalizing the DIPC partnership, and identifying PI anchors with suitable longitudinal imaging datasets. If those pieces come together, the program has a credible path from institutional capability-building through to a distinctive scientific research agenda that few other institutes in the region could replicate.</w:t>
      </w:r>
    </w:p>
    <w:sectPr>
      <w:pgSz w:w="11906" w:h="16838" w:orient="portrait"/>
      <w:pgMar w:top="1300" w:right="1380" w:bottom="1100" w:left="13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4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2026-03-03T15:09:08.861Z</dcterms:created>
  <dcterms:modified xsi:type="dcterms:W3CDTF">2026-03-03T15:09:08.861Z</dcterms:modified>
</cp:coreProperties>
</file>

<file path=docProps/custom.xml><?xml version="1.0" encoding="utf-8"?>
<Properties xmlns="http://schemas.openxmlformats.org/officeDocument/2006/custom-properties" xmlns:vt="http://schemas.openxmlformats.org/officeDocument/2006/docPropsVTypes"/>
</file>