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D35" w:rsidRDefault="00560D35" w:rsidP="00560D35">
      <w:pPr>
        <w:pStyle w:val="Heading1"/>
        <w:ind w:left="240"/>
        <w:rPr>
          <w:rFonts w:ascii="HelveticaNeueLTStd-Bd" w:hAnsi="HelveticaNeueLTStd-Bd" w:cs="HelveticaNeueLTStd-Bd"/>
          <w:bCs w:val="0"/>
          <w:sz w:val="33"/>
          <w:szCs w:val="33"/>
        </w:rPr>
      </w:pPr>
      <w:r>
        <w:rPr>
          <w:rFonts w:ascii="HelveticaNeueLTStd-Bd" w:hAnsi="HelveticaNeueLTStd-Bd" w:cs="HelveticaNeueLTStd-Bd"/>
          <w:bCs w:val="0"/>
          <w:sz w:val="33"/>
          <w:szCs w:val="33"/>
        </w:rPr>
        <w:t>28</w:t>
      </w:r>
    </w:p>
    <w:p w:rsidR="00F0329C" w:rsidRPr="00560D35" w:rsidRDefault="00560D35" w:rsidP="00560D35">
      <w:pPr>
        <w:pStyle w:val="Heading1"/>
        <w:ind w:left="240"/>
        <w:rPr>
          <w:rFonts w:ascii="HelveticaNeueLTStd-Bd" w:hAnsi="HelveticaNeueLTStd-Bd" w:cs="HelveticaNeueLTStd-Bd"/>
          <w:bCs w:val="0"/>
          <w:sz w:val="33"/>
          <w:szCs w:val="33"/>
        </w:rPr>
      </w:pPr>
      <w:r w:rsidRPr="00560D35">
        <w:rPr>
          <w:rFonts w:ascii="HelveticaNeueLTStd-Bd" w:hAnsi="HelveticaNeueLTStd-Bd" w:cs="HelveticaNeueLTStd-Bd"/>
          <w:bCs w:val="0"/>
          <w:sz w:val="33"/>
          <w:szCs w:val="33"/>
        </w:rPr>
        <w:t>Quantum Physics and Special Relativity</w:t>
      </w:r>
    </w:p>
    <w:p w:rsidR="00560D35" w:rsidRDefault="00560D35">
      <w:pPr>
        <w:rPr>
          <w:rFonts w:ascii="HelveticaNeueLTStd-Bd" w:hAnsi="HelveticaNeueLTStd-Bd" w:cs="HelveticaNeueLTStd-Bd"/>
          <w:b/>
          <w:bCs/>
          <w:sz w:val="33"/>
          <w:szCs w:val="33"/>
        </w:rPr>
      </w:pPr>
    </w:p>
    <w:p w:rsidR="00560D35" w:rsidRDefault="00560D35" w:rsidP="00560D35">
      <w:pPr>
        <w:rPr>
          <w:rFonts w:ascii="Times-Roman" w:hAnsi="Times-Roman" w:cs="Times-Roman"/>
          <w:sz w:val="19"/>
          <w:szCs w:val="19"/>
        </w:rPr>
      </w:pPr>
      <w:r>
        <w:rPr>
          <w:rFonts w:ascii="Times-Roman" w:hAnsi="Times-Roman" w:cs="Times-Roman"/>
          <w:sz w:val="19"/>
          <w:szCs w:val="19"/>
        </w:rPr>
        <w:t xml:space="preserve">In this final chapter </w:t>
      </w:r>
      <w:r w:rsidRPr="00560D35">
        <w:t>we</w:t>
      </w:r>
      <w:r>
        <w:rPr>
          <w:rFonts w:ascii="Times-Roman" w:hAnsi="Times-Roman" w:cs="Times-Roman"/>
          <w:sz w:val="19"/>
          <w:szCs w:val="19"/>
        </w:rPr>
        <w:t xml:space="preserve"> propose to see how special relativity is taken into account in quantum physics.We do not address</w:t>
      </w:r>
      <w:r>
        <w:rPr>
          <w:rFonts w:ascii="Times-Roman" w:hAnsi="Times-Roman" w:cs="Times-Roman"/>
          <w:sz w:val="19"/>
          <w:szCs w:val="19"/>
        </w:rPr>
        <w:t xml:space="preserve"> </w:t>
      </w:r>
      <w:r>
        <w:rPr>
          <w:rFonts w:ascii="Times-Roman" w:hAnsi="Times-Roman" w:cs="Times-Roman"/>
          <w:sz w:val="19"/>
          <w:szCs w:val="19"/>
        </w:rPr>
        <w:t>general relativity, spacetime curvature as a manifestation of gravitation, as this is currently a separate and incompatible</w:t>
      </w:r>
      <w:r>
        <w:rPr>
          <w:rFonts w:ascii="Times-Roman" w:hAnsi="Times-Roman" w:cs="Times-Roman"/>
          <w:sz w:val="19"/>
          <w:szCs w:val="19"/>
        </w:rPr>
        <w:t xml:space="preserve"> </w:t>
      </w:r>
      <w:r>
        <w:rPr>
          <w:rFonts w:ascii="Times-Roman" w:hAnsi="Times-Roman" w:cs="Times-Roman"/>
          <w:sz w:val="19"/>
          <w:szCs w:val="19"/>
        </w:rPr>
        <w:t>theory, though both general relativity and quantum physics are extremely efficient in their own field. We have already</w:t>
      </w:r>
      <w:r>
        <w:rPr>
          <w:rFonts w:ascii="Times-Roman" w:hAnsi="Times-Roman" w:cs="Times-Roman"/>
          <w:sz w:val="19"/>
          <w:szCs w:val="19"/>
        </w:rPr>
        <w:t xml:space="preserve"> </w:t>
      </w:r>
      <w:r>
        <w:rPr>
          <w:rFonts w:ascii="Times-Roman" w:hAnsi="Times-Roman" w:cs="Times-Roman"/>
          <w:sz w:val="19"/>
          <w:szCs w:val="19"/>
        </w:rPr>
        <w:t>mentioned some effects that special relativity has in quantum physics. For instance, we have seen that the Schrödinger</w:t>
      </w:r>
      <w:r>
        <w:rPr>
          <w:rFonts w:ascii="Times-Roman" w:hAnsi="Times-Roman" w:cs="Times-Roman"/>
          <w:sz w:val="19"/>
          <w:szCs w:val="19"/>
        </w:rPr>
        <w:t xml:space="preserve"> </w:t>
      </w:r>
      <w:r>
        <w:rPr>
          <w:rFonts w:ascii="Times-Roman" w:hAnsi="Times-Roman" w:cs="Times-Roman"/>
          <w:sz w:val="19"/>
          <w:szCs w:val="19"/>
        </w:rPr>
        <w:t>analysis of the hydrogen atom gives an expected electron velocity in the ground state of the atom of the order of (see Chapter 20), coinciding with the prediction of Bohr’s model (see Chapter 2). If 1, this expected value is not</w:t>
      </w:r>
      <w:r>
        <w:rPr>
          <w:rFonts w:ascii="Times-Roman" w:hAnsi="Times-Roman" w:cs="Times-Roman"/>
          <w:sz w:val="19"/>
          <w:szCs w:val="19"/>
        </w:rPr>
        <w:t xml:space="preserve"> negligible with respect</w:t>
      </w:r>
      <w:r>
        <w:rPr>
          <w:rFonts w:ascii="Times-Roman" w:hAnsi="Times-Roman" w:cs="Times-Roman"/>
          <w:sz w:val="19"/>
          <w:szCs w:val="19"/>
        </w:rPr>
        <w:t xml:space="preserve"> and thus we can expect significant changes of</w:t>
      </w:r>
      <w:r>
        <w:rPr>
          <w:rFonts w:ascii="Times-Roman" w:hAnsi="Times-Roman" w:cs="Times-Roman"/>
          <w:sz w:val="19"/>
          <w:szCs w:val="19"/>
        </w:rPr>
        <w:t xml:space="preserve"> </w:t>
      </w:r>
      <w:r>
        <w:rPr>
          <w:rFonts w:ascii="Times-Roman" w:hAnsi="Times-Roman" w:cs="Times-Roman"/>
          <w:sz w:val="19"/>
          <w:szCs w:val="19"/>
        </w:rPr>
        <w:t xml:space="preserve">the energy levels, especially for the innermost electronic orbitals. Moreover, we know that the </w:t>
      </w:r>
      <w:r>
        <w:rPr>
          <w:rFonts w:ascii="Times-Bold" w:hAnsi="Times-Bold" w:cs="Times-Bold"/>
          <w:b/>
          <w:bCs/>
          <w:sz w:val="19"/>
          <w:szCs w:val="19"/>
        </w:rPr>
        <w:t xml:space="preserve">fine structure </w:t>
      </w:r>
      <w:r>
        <w:rPr>
          <w:rFonts w:ascii="Times-Roman" w:hAnsi="Times-Roman" w:cs="Times-Roman"/>
          <w:sz w:val="19"/>
          <w:szCs w:val="19"/>
        </w:rPr>
        <w:t>of atomic</w:t>
      </w:r>
      <w:r>
        <w:rPr>
          <w:rFonts w:ascii="Times-Roman" w:hAnsi="Times-Roman" w:cs="Times-Roman"/>
          <w:sz w:val="19"/>
          <w:szCs w:val="19"/>
        </w:rPr>
        <w:t xml:space="preserve"> </w:t>
      </w:r>
      <w:r>
        <w:rPr>
          <w:rFonts w:ascii="Times-Roman" w:hAnsi="Times-Roman" w:cs="Times-Roman"/>
          <w:sz w:val="19"/>
          <w:szCs w:val="19"/>
        </w:rPr>
        <w:t>spectra is a relativistic effect, through the relationship between the energy and the linear momentum (the norm of the</w:t>
      </w:r>
      <w:r>
        <w:rPr>
          <w:rFonts w:ascii="Times-Roman" w:hAnsi="Times-Roman" w:cs="Times-Roman"/>
          <w:sz w:val="19"/>
          <w:szCs w:val="19"/>
        </w:rPr>
        <w:t xml:space="preserve"> </w:t>
      </w:r>
      <w:r>
        <w:rPr>
          <w:rFonts w:ascii="Times-Roman" w:hAnsi="Times-Roman" w:cs="Times-Roman"/>
          <w:sz w:val="19"/>
          <w:szCs w:val="19"/>
        </w:rPr>
        <w:t>momenergy) and the spin–orbit coupling (see Chapter 20).</w:t>
      </w:r>
    </w:p>
    <w:p w:rsidR="00560D35" w:rsidRDefault="00560D35" w:rsidP="00560D35">
      <w:pPr>
        <w:ind w:firstLine="720"/>
        <w:rPr>
          <w:rFonts w:ascii="Times-Roman" w:hAnsi="Times-Roman" w:cs="Times-Roman"/>
          <w:sz w:val="19"/>
          <w:szCs w:val="19"/>
        </w:rPr>
      </w:pPr>
      <w:r>
        <w:rPr>
          <w:rFonts w:ascii="Times-Roman" w:hAnsi="Times-Roman" w:cs="Times-Roman"/>
          <w:sz w:val="19"/>
          <w:szCs w:val="19"/>
        </w:rPr>
        <w:t>We propose here to give a theoretical framework for joining quantum physics and special relativity. At the beginning,</w:t>
      </w:r>
      <w:r>
        <w:rPr>
          <w:rFonts w:ascii="Times-Roman" w:hAnsi="Times-Roman" w:cs="Times-Roman"/>
          <w:sz w:val="19"/>
          <w:szCs w:val="19"/>
        </w:rPr>
        <w:t xml:space="preserve"> </w:t>
      </w:r>
      <w:r>
        <w:rPr>
          <w:rFonts w:ascii="Times-Roman" w:hAnsi="Times-Roman" w:cs="Times-Roman"/>
          <w:sz w:val="19"/>
          <w:szCs w:val="19"/>
        </w:rPr>
        <w:t>this was accomplished with just a simple extension of the non-relativistic form of quantum physics by taking into</w:t>
      </w:r>
      <w:r>
        <w:rPr>
          <w:rFonts w:ascii="Times-Roman" w:hAnsi="Times-Roman" w:cs="Times-Roman"/>
          <w:sz w:val="19"/>
          <w:szCs w:val="19"/>
        </w:rPr>
        <w:t xml:space="preserve"> </w:t>
      </w:r>
      <w:r>
        <w:rPr>
          <w:rFonts w:ascii="Times-Roman" w:hAnsi="Times-Roman" w:cs="Times-Roman"/>
          <w:sz w:val="19"/>
          <w:szCs w:val="19"/>
        </w:rPr>
        <w:t>account the Lorentzian geometry of spacetime (equivalently by considering the Lorentz–Poincaré transformation), that</w:t>
      </w:r>
      <w:r>
        <w:rPr>
          <w:rFonts w:ascii="Times-Roman" w:hAnsi="Times-Roman" w:cs="Times-Roman"/>
          <w:sz w:val="19"/>
          <w:szCs w:val="19"/>
        </w:rPr>
        <w:t xml:space="preserve"> </w:t>
      </w:r>
      <w:r>
        <w:rPr>
          <w:rFonts w:ascii="Times-Roman" w:hAnsi="Times-Roman" w:cs="Times-Roman"/>
          <w:sz w:val="19"/>
          <w:szCs w:val="19"/>
        </w:rPr>
        <w:t>is, by unifying space and time. This oc</w:t>
      </w:r>
      <w:r>
        <w:rPr>
          <w:rFonts w:ascii="Times-Roman" w:hAnsi="Times-Roman" w:cs="Times-Roman"/>
          <w:sz w:val="19"/>
          <w:szCs w:val="19"/>
        </w:rPr>
        <w:t>curred historically in two ways:</w:t>
      </w:r>
    </w:p>
    <w:p w:rsidR="00560D35" w:rsidRDefault="00560D35" w:rsidP="00560D35">
      <w:pPr>
        <w:autoSpaceDE w:val="0"/>
        <w:autoSpaceDN w:val="0"/>
        <w:adjustRightInd w:val="0"/>
        <w:spacing w:after="0" w:line="240" w:lineRule="auto"/>
        <w:ind w:left="720"/>
        <w:rPr>
          <w:rFonts w:ascii="Times-Roman" w:hAnsi="Times-Roman" w:cs="Times-Roman"/>
          <w:sz w:val="19"/>
          <w:szCs w:val="19"/>
        </w:rPr>
      </w:pPr>
    </w:p>
    <w:p w:rsidR="00560D35" w:rsidRDefault="00560D35" w:rsidP="00560D35">
      <w:pPr>
        <w:ind w:left="720"/>
        <w:rPr>
          <w:rFonts w:ascii="Times-Roman" w:hAnsi="Times-Roman" w:cs="Times-Roman"/>
          <w:sz w:val="19"/>
          <w:szCs w:val="19"/>
        </w:rPr>
      </w:pPr>
      <w:r>
        <w:rPr>
          <w:rFonts w:ascii="Times-Roman" w:hAnsi="Times-Roman" w:cs="Times-Roman"/>
          <w:sz w:val="19"/>
          <w:szCs w:val="19"/>
        </w:rPr>
        <w:t xml:space="preserve">The second was </w:t>
      </w:r>
      <w:r w:rsidRPr="00560D35">
        <w:t>proposed</w:t>
      </w:r>
      <w:r>
        <w:rPr>
          <w:rFonts w:ascii="Times-Roman" w:hAnsi="Times-Roman" w:cs="Times-Roman"/>
          <w:sz w:val="19"/>
          <w:szCs w:val="19"/>
        </w:rPr>
        <w:t xml:space="preserve"> by Dirac in 1928 for electrons.</w:t>
      </w:r>
      <w:r>
        <w:rPr>
          <w:rFonts w:ascii="Times-Roman" w:hAnsi="Times-Roman" w:cs="Times-Roman"/>
          <w:sz w:val="14"/>
          <w:szCs w:val="14"/>
        </w:rPr>
        <w:t xml:space="preserve">3 </w:t>
      </w:r>
      <w:r>
        <w:rPr>
          <w:rFonts w:ascii="Times-Roman" w:hAnsi="Times-Roman" w:cs="Times-Roman"/>
          <w:sz w:val="19"/>
          <w:szCs w:val="19"/>
        </w:rPr>
        <w:t>It is based on the introduction of a new Hamiltonian in</w:t>
      </w:r>
      <w:r>
        <w:rPr>
          <w:rFonts w:ascii="Times-Roman" w:hAnsi="Times-Roman" w:cs="Times-Roman"/>
          <w:sz w:val="19"/>
          <w:szCs w:val="19"/>
        </w:rPr>
        <w:t xml:space="preserve"> </w:t>
      </w:r>
      <w:r>
        <w:rPr>
          <w:rFonts w:ascii="Times-Roman" w:hAnsi="Times-Roman" w:cs="Times-Roman"/>
          <w:sz w:val="19"/>
          <w:szCs w:val="19"/>
        </w:rPr>
        <w:t>which the spatial derivatives are of the first order, like those relative to time.</w:t>
      </w:r>
    </w:p>
    <w:p w:rsidR="00560D35" w:rsidRDefault="00560D35" w:rsidP="00560D35">
      <w:pPr>
        <w:autoSpaceDE w:val="0"/>
        <w:autoSpaceDN w:val="0"/>
        <w:adjustRightInd w:val="0"/>
        <w:spacing w:after="0" w:line="240" w:lineRule="auto"/>
        <w:ind w:firstLine="720"/>
        <w:rPr>
          <w:rFonts w:ascii="Times-Roman" w:hAnsi="Times-Roman" w:cs="Times-Roman"/>
          <w:sz w:val="19"/>
          <w:szCs w:val="19"/>
        </w:rPr>
      </w:pPr>
    </w:p>
    <w:p w:rsidR="00560D35" w:rsidRDefault="00560D35" w:rsidP="00560D35">
      <w:pPr>
        <w:rPr>
          <w:rFonts w:ascii="Times-Roman" w:hAnsi="Times-Roman" w:cs="Times-Roman"/>
          <w:sz w:val="19"/>
          <w:szCs w:val="19"/>
        </w:rPr>
      </w:pPr>
      <w:r>
        <w:rPr>
          <w:rFonts w:ascii="Times-Roman" w:hAnsi="Times-Roman" w:cs="Times-Roman"/>
          <w:sz w:val="19"/>
          <w:szCs w:val="19"/>
        </w:rPr>
        <w:t>because of some difficulties and shortcomings, the Dirac theory has been replaced by a new</w:t>
      </w:r>
      <w:r>
        <w:rPr>
          <w:rFonts w:ascii="Times-Roman" w:hAnsi="Times-Roman" w:cs="Times-Roman"/>
          <w:sz w:val="19"/>
          <w:szCs w:val="19"/>
        </w:rPr>
        <w:t xml:space="preserve"> </w:t>
      </w:r>
      <w:r>
        <w:rPr>
          <w:rFonts w:ascii="Times-Roman" w:hAnsi="Times-Roman" w:cs="Times-Roman"/>
          <w:sz w:val="19"/>
          <w:szCs w:val="19"/>
        </w:rPr>
        <w:t xml:space="preserve">construction we now call quantum electrodynamics, and which is an example of what we call more generally a </w:t>
      </w:r>
      <w:r>
        <w:rPr>
          <w:rFonts w:ascii="Times-Italic" w:hAnsi="Times-Italic" w:cs="Times-Italic"/>
          <w:i/>
          <w:iCs/>
          <w:sz w:val="19"/>
          <w:szCs w:val="19"/>
        </w:rPr>
        <w:t>quantum</w:t>
      </w:r>
      <w:r>
        <w:rPr>
          <w:rFonts w:ascii="Times-Italic" w:hAnsi="Times-Italic" w:cs="Times-Italic"/>
          <w:i/>
          <w:iCs/>
          <w:sz w:val="19"/>
          <w:szCs w:val="19"/>
        </w:rPr>
        <w:t xml:space="preserve"> </w:t>
      </w:r>
      <w:r>
        <w:rPr>
          <w:rFonts w:ascii="Times-Italic" w:hAnsi="Times-Italic" w:cs="Times-Italic"/>
          <w:i/>
          <w:iCs/>
          <w:sz w:val="19"/>
          <w:szCs w:val="19"/>
        </w:rPr>
        <w:t>field theory</w:t>
      </w:r>
      <w:r>
        <w:rPr>
          <w:rFonts w:ascii="Times-Roman" w:hAnsi="Times-Roman" w:cs="Times-Roman"/>
          <w:sz w:val="19"/>
          <w:szCs w:val="19"/>
        </w:rPr>
        <w:t>.</w:t>
      </w:r>
    </w:p>
    <w:p w:rsidR="00560D35" w:rsidRDefault="00560D35" w:rsidP="00560D35">
      <w:pPr>
        <w:autoSpaceDE w:val="0"/>
        <w:autoSpaceDN w:val="0"/>
        <w:adjustRightInd w:val="0"/>
        <w:spacing w:after="0" w:line="240" w:lineRule="auto"/>
        <w:rPr>
          <w:rFonts w:ascii="Times-Roman" w:hAnsi="Times-Roman" w:cs="Times-Roman"/>
          <w:sz w:val="19"/>
          <w:szCs w:val="19"/>
        </w:rPr>
      </w:pPr>
    </w:p>
    <w:p w:rsidR="00560D35" w:rsidRPr="00560D35" w:rsidRDefault="00560D35" w:rsidP="00560D35">
      <w:pPr>
        <w:jc w:val="center"/>
        <w:rPr>
          <w:b/>
        </w:rPr>
      </w:pPr>
      <w:r w:rsidRPr="00560D35">
        <w:rPr>
          <w:b/>
        </w:rPr>
        <w:t>THE SCHRÖDINGER–KLEIN–GORDON (SKG) EQUATION</w:t>
      </w:r>
    </w:p>
    <w:p w:rsidR="00560D35" w:rsidRDefault="00560D35" w:rsidP="00560D35">
      <w:pPr>
        <w:rPr>
          <w:rFonts w:ascii="Times-Roman" w:hAnsi="Times-Roman" w:cs="Times-Roman"/>
          <w:sz w:val="19"/>
          <w:szCs w:val="19"/>
        </w:rPr>
      </w:pPr>
      <w:r>
        <w:rPr>
          <w:rFonts w:ascii="Times-Roman" w:hAnsi="Times-Roman" w:cs="Times-Roman"/>
          <w:sz w:val="19"/>
          <w:szCs w:val="19"/>
        </w:rPr>
        <w:t xml:space="preserve">The </w:t>
      </w:r>
      <w:r>
        <w:rPr>
          <w:rFonts w:ascii="Times-Bold" w:hAnsi="Times-Bold" w:cs="Times-Bold"/>
          <w:b/>
          <w:bCs/>
          <w:sz w:val="19"/>
          <w:szCs w:val="19"/>
        </w:rPr>
        <w:t xml:space="preserve">Schrödinger–Klein–Gordon equation </w:t>
      </w:r>
      <w:r>
        <w:rPr>
          <w:rFonts w:ascii="Times-Roman" w:hAnsi="Times-Roman" w:cs="Times-Roman"/>
          <w:sz w:val="19"/>
          <w:szCs w:val="19"/>
        </w:rPr>
        <w:t xml:space="preserve">concerns only </w:t>
      </w:r>
      <w:r>
        <w:rPr>
          <w:rFonts w:ascii="Times-Italic" w:hAnsi="Times-Italic" w:cs="Times-Italic"/>
          <w:i/>
          <w:iCs/>
          <w:sz w:val="19"/>
          <w:szCs w:val="19"/>
        </w:rPr>
        <w:t xml:space="preserve">spinless </w:t>
      </w:r>
      <w:r>
        <w:rPr>
          <w:rFonts w:ascii="Times-Roman" w:hAnsi="Times-Roman" w:cs="Times-Roman"/>
          <w:sz w:val="19"/>
          <w:szCs w:val="19"/>
        </w:rPr>
        <w:t>physical objects, like the</w:t>
      </w:r>
      <w:r>
        <w:rPr>
          <w:rFonts w:ascii="MTMI" w:eastAsia="MTMI" w:hAnsi="Times-Roman" w:cs="MTMI"/>
          <w:i/>
          <w:iCs/>
          <w:sz w:val="19"/>
          <w:szCs w:val="19"/>
        </w:rPr>
        <w:t xml:space="preserve"> </w:t>
      </w:r>
      <w:r>
        <w:rPr>
          <w:rFonts w:ascii="Times-Roman" w:hAnsi="Times-Roman" w:cs="Times-Roman"/>
          <w:sz w:val="19"/>
          <w:szCs w:val="19"/>
        </w:rPr>
        <w:t>meson, and, by</w:t>
      </w:r>
      <w:r>
        <w:rPr>
          <w:rFonts w:ascii="Times-Roman" w:hAnsi="Times-Roman" w:cs="Times-Roman"/>
          <w:sz w:val="19"/>
          <w:szCs w:val="19"/>
        </w:rPr>
        <w:t xml:space="preserve"> </w:t>
      </w:r>
      <w:r>
        <w:rPr>
          <w:rFonts w:ascii="Times-Roman" w:hAnsi="Times-Roman" w:cs="Times-Roman"/>
          <w:sz w:val="19"/>
          <w:szCs w:val="19"/>
        </w:rPr>
        <w:t>extension, any situation where the spin does not play an important role. This is the case, for instance, in electronic</w:t>
      </w:r>
      <w:r>
        <w:rPr>
          <w:rFonts w:ascii="Times-Roman" w:hAnsi="Times-Roman" w:cs="Times-Roman"/>
          <w:sz w:val="19"/>
          <w:szCs w:val="19"/>
        </w:rPr>
        <w:t xml:space="preserve"> </w:t>
      </w:r>
      <w:r>
        <w:rPr>
          <w:rFonts w:ascii="Times-Roman" w:hAnsi="Times-Roman" w:cs="Times-Roman"/>
          <w:sz w:val="19"/>
          <w:szCs w:val="19"/>
        </w:rPr>
        <w:t>microscopy: the spin of the incident fast electrons can be ignored provided that the magnetic interaction with the sample</w:t>
      </w:r>
      <w:r>
        <w:rPr>
          <w:rFonts w:ascii="Times-Roman" w:hAnsi="Times-Roman" w:cs="Times-Roman"/>
          <w:sz w:val="19"/>
          <w:szCs w:val="19"/>
        </w:rPr>
        <w:t xml:space="preserve"> </w:t>
      </w:r>
      <w:r>
        <w:rPr>
          <w:rFonts w:ascii="Times-Roman" w:hAnsi="Times-Roman" w:cs="Times-Roman"/>
          <w:sz w:val="19"/>
          <w:szCs w:val="19"/>
        </w:rPr>
        <w:t>investigated is negligible or null.</w:t>
      </w:r>
    </w:p>
    <w:p w:rsidR="00560D35" w:rsidRDefault="00560D35" w:rsidP="00560D35">
      <w:pPr>
        <w:autoSpaceDE w:val="0"/>
        <w:autoSpaceDN w:val="0"/>
        <w:adjustRightInd w:val="0"/>
        <w:spacing w:after="0" w:line="240" w:lineRule="auto"/>
        <w:ind w:left="720"/>
        <w:rPr>
          <w:rFonts w:ascii="Times-Roman" w:hAnsi="Times-Roman" w:cs="Times-Roman"/>
          <w:sz w:val="19"/>
          <w:szCs w:val="19"/>
        </w:rPr>
      </w:pPr>
      <w:r>
        <w:rPr>
          <w:rFonts w:ascii="Times-Bold" w:hAnsi="Times-Bold" w:cs="Times-Bold"/>
          <w:b/>
          <w:bCs/>
          <w:sz w:val="19"/>
          <w:szCs w:val="19"/>
        </w:rPr>
        <w:t xml:space="preserve">Figure 28.1 </w:t>
      </w:r>
      <w:r>
        <w:rPr>
          <w:rFonts w:ascii="Times-Roman" w:hAnsi="Times-Roman" w:cs="Times-Roman"/>
          <w:sz w:val="19"/>
          <w:szCs w:val="19"/>
        </w:rPr>
        <w:t>Dispersion curves for a free fermion in Dirac’s theory.</w:t>
      </w:r>
      <w:r>
        <w:rPr>
          <w:rFonts w:ascii="Times-Roman" w:hAnsi="Times-Roman" w:cs="Times-Roman"/>
          <w:sz w:val="19"/>
          <w:szCs w:val="19"/>
        </w:rPr>
        <w:t xml:space="preserve"> </w:t>
      </w:r>
      <w:r>
        <w:rPr>
          <w:rFonts w:ascii="Times-Roman" w:hAnsi="Times-Roman" w:cs="Times-Roman"/>
          <w:sz w:val="19"/>
          <w:szCs w:val="19"/>
        </w:rPr>
        <w:t xml:space="preserve">The vertices of the parabola are </w:t>
      </w:r>
      <w:r>
        <w:rPr>
          <w:rFonts w:ascii="MTMI" w:eastAsia="MTMI" w:hAnsi="Times-Bold" w:cs="MTMI"/>
          <w:i/>
          <w:iCs/>
          <w:sz w:val="19"/>
          <w:szCs w:val="19"/>
        </w:rPr>
        <w:t>mc</w:t>
      </w:r>
      <w:r>
        <w:rPr>
          <w:rFonts w:ascii="Times-Roman" w:hAnsi="Times-Roman" w:cs="Times-Roman"/>
          <w:sz w:val="14"/>
          <w:szCs w:val="14"/>
        </w:rPr>
        <w:t xml:space="preserve">2 </w:t>
      </w:r>
      <w:r>
        <w:rPr>
          <w:rFonts w:ascii="Times-Roman" w:hAnsi="Times-Roman" w:cs="Times-Roman"/>
          <w:sz w:val="19"/>
          <w:szCs w:val="19"/>
        </w:rPr>
        <w:t>(positive energies).</w:t>
      </w:r>
    </w:p>
    <w:p w:rsidR="00560D35" w:rsidRPr="00560D35" w:rsidRDefault="00560D35" w:rsidP="00560D35">
      <w:pPr>
        <w:rPr>
          <w:b/>
        </w:rPr>
      </w:pPr>
      <w:r w:rsidRPr="00560D35">
        <w:rPr>
          <w:b/>
        </w:rPr>
        <w:t>Spin</w:t>
      </w:r>
    </w:p>
    <w:p w:rsidR="00560D35" w:rsidRPr="00560D35" w:rsidRDefault="00560D35" w:rsidP="00560D35">
      <w:pPr>
        <w:rPr>
          <w:b/>
        </w:rPr>
      </w:pPr>
      <w:r>
        <w:rPr>
          <w:rFonts w:ascii="Times-Roman" w:hAnsi="Times-Roman" w:cs="Times-Roman"/>
          <w:sz w:val="19"/>
          <w:szCs w:val="19"/>
        </w:rPr>
        <w:t>Dirac inter</w:t>
      </w:r>
      <w:bookmarkStart w:id="0" w:name="_GoBack"/>
      <w:bookmarkEnd w:id="0"/>
      <w:r>
        <w:rPr>
          <w:rFonts w:ascii="Times-Roman" w:hAnsi="Times-Roman" w:cs="Times-Roman"/>
          <w:sz w:val="19"/>
          <w:szCs w:val="19"/>
        </w:rPr>
        <w:t xml:space="preserve">preted this degeneracy by assigning to a free electron </w:t>
      </w:r>
      <w:r>
        <w:rPr>
          <w:rFonts w:ascii="Times-Italic" w:hAnsi="Times-Italic" w:cs="Times-Italic"/>
          <w:i/>
          <w:iCs/>
          <w:sz w:val="19"/>
          <w:szCs w:val="19"/>
        </w:rPr>
        <w:t xml:space="preserve">two </w:t>
      </w:r>
      <w:r>
        <w:rPr>
          <w:rFonts w:ascii="Times-Roman" w:hAnsi="Times-Roman" w:cs="Times-Roman"/>
          <w:sz w:val="19"/>
          <w:szCs w:val="19"/>
        </w:rPr>
        <w:t xml:space="preserve">different values of a new quantity, the </w:t>
      </w:r>
      <w:r>
        <w:rPr>
          <w:rFonts w:ascii="Times-Italic" w:hAnsi="Times-Italic" w:cs="Times-Italic"/>
          <w:i/>
          <w:iCs/>
          <w:sz w:val="19"/>
          <w:szCs w:val="19"/>
        </w:rPr>
        <w:t>spin</w:t>
      </w:r>
      <w:r>
        <w:rPr>
          <w:rFonts w:ascii="Times-Roman" w:hAnsi="Times-Roman" w:cs="Times-Roman"/>
          <w:sz w:val="19"/>
          <w:szCs w:val="19"/>
        </w:rPr>
        <w:t>. It thus</w:t>
      </w:r>
      <w:r>
        <w:rPr>
          <w:rFonts w:ascii="Times-Roman" w:hAnsi="Times-Roman" w:cs="Times-Roman"/>
          <w:sz w:val="19"/>
          <w:szCs w:val="19"/>
        </w:rPr>
        <w:t xml:space="preserve"> </w:t>
      </w:r>
      <w:r>
        <w:rPr>
          <w:rFonts w:ascii="Times-Roman" w:hAnsi="Times-Roman" w:cs="Times-Roman"/>
          <w:sz w:val="19"/>
          <w:szCs w:val="19"/>
        </w:rPr>
        <w:t>appears independently of the presence of any magnetic field, unlike what we might think from its introduction from</w:t>
      </w:r>
      <w:r>
        <w:rPr>
          <w:rFonts w:ascii="Times-Roman" w:hAnsi="Times-Roman" w:cs="Times-Roman"/>
          <w:sz w:val="19"/>
          <w:szCs w:val="19"/>
        </w:rPr>
        <w:t xml:space="preserve"> </w:t>
      </w:r>
      <w:r>
        <w:rPr>
          <w:rFonts w:ascii="Times-Roman" w:hAnsi="Times-Roman" w:cs="Times-Roman"/>
          <w:sz w:val="19"/>
          <w:szCs w:val="19"/>
        </w:rPr>
        <w:t>experimental considerations, via the proper magnetic momentum of the electron (see Chapter 13).</w:t>
      </w:r>
    </w:p>
    <w:sectPr w:rsidR="00560D35" w:rsidRPr="00560D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NeueLTStd-Bd">
    <w:panose1 w:val="00000000000000000000"/>
    <w:charset w:val="00"/>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MTMI">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D35"/>
    <w:rsid w:val="00007C3E"/>
    <w:rsid w:val="000667F0"/>
    <w:rsid w:val="00070A6B"/>
    <w:rsid w:val="00077533"/>
    <w:rsid w:val="00077678"/>
    <w:rsid w:val="000E2843"/>
    <w:rsid w:val="00103640"/>
    <w:rsid w:val="0010474F"/>
    <w:rsid w:val="001342F2"/>
    <w:rsid w:val="001559BB"/>
    <w:rsid w:val="00170FC6"/>
    <w:rsid w:val="001819FA"/>
    <w:rsid w:val="00194AAC"/>
    <w:rsid w:val="001B4EF8"/>
    <w:rsid w:val="001C06E3"/>
    <w:rsid w:val="00210183"/>
    <w:rsid w:val="002120F1"/>
    <w:rsid w:val="00282A4D"/>
    <w:rsid w:val="00282EE2"/>
    <w:rsid w:val="002858B0"/>
    <w:rsid w:val="002A3170"/>
    <w:rsid w:val="002F7A62"/>
    <w:rsid w:val="0033787F"/>
    <w:rsid w:val="00361357"/>
    <w:rsid w:val="00361EC9"/>
    <w:rsid w:val="00362C97"/>
    <w:rsid w:val="003B746C"/>
    <w:rsid w:val="003C26E9"/>
    <w:rsid w:val="003F07C1"/>
    <w:rsid w:val="00402E86"/>
    <w:rsid w:val="004479EC"/>
    <w:rsid w:val="00454BED"/>
    <w:rsid w:val="004D74C4"/>
    <w:rsid w:val="004E0B53"/>
    <w:rsid w:val="004E4990"/>
    <w:rsid w:val="00511DBC"/>
    <w:rsid w:val="00513800"/>
    <w:rsid w:val="00544823"/>
    <w:rsid w:val="00544F4C"/>
    <w:rsid w:val="00550AAB"/>
    <w:rsid w:val="0055749A"/>
    <w:rsid w:val="00560D35"/>
    <w:rsid w:val="005D2EC7"/>
    <w:rsid w:val="005D5C3E"/>
    <w:rsid w:val="005F28D4"/>
    <w:rsid w:val="005F6B81"/>
    <w:rsid w:val="006023DB"/>
    <w:rsid w:val="00606174"/>
    <w:rsid w:val="0062071C"/>
    <w:rsid w:val="0065552B"/>
    <w:rsid w:val="00664260"/>
    <w:rsid w:val="006675D2"/>
    <w:rsid w:val="006B2C77"/>
    <w:rsid w:val="006C4296"/>
    <w:rsid w:val="006F1C19"/>
    <w:rsid w:val="00713E21"/>
    <w:rsid w:val="00713F01"/>
    <w:rsid w:val="00722169"/>
    <w:rsid w:val="007A216A"/>
    <w:rsid w:val="007C334E"/>
    <w:rsid w:val="007C562D"/>
    <w:rsid w:val="007E18EA"/>
    <w:rsid w:val="007F051F"/>
    <w:rsid w:val="007F4FCD"/>
    <w:rsid w:val="0081240C"/>
    <w:rsid w:val="008124EC"/>
    <w:rsid w:val="00816B96"/>
    <w:rsid w:val="00844EE3"/>
    <w:rsid w:val="00861012"/>
    <w:rsid w:val="00862C6D"/>
    <w:rsid w:val="0088768D"/>
    <w:rsid w:val="00892A3C"/>
    <w:rsid w:val="008A6AF0"/>
    <w:rsid w:val="008E4005"/>
    <w:rsid w:val="00922272"/>
    <w:rsid w:val="0092513E"/>
    <w:rsid w:val="009602B3"/>
    <w:rsid w:val="009638FD"/>
    <w:rsid w:val="00964F80"/>
    <w:rsid w:val="00997485"/>
    <w:rsid w:val="009B036B"/>
    <w:rsid w:val="00A01E1E"/>
    <w:rsid w:val="00A11BE0"/>
    <w:rsid w:val="00A15774"/>
    <w:rsid w:val="00A340A6"/>
    <w:rsid w:val="00A55D44"/>
    <w:rsid w:val="00A611E0"/>
    <w:rsid w:val="00A7110E"/>
    <w:rsid w:val="00A90FA6"/>
    <w:rsid w:val="00AC1D73"/>
    <w:rsid w:val="00AD7E7D"/>
    <w:rsid w:val="00B01CFA"/>
    <w:rsid w:val="00B342B9"/>
    <w:rsid w:val="00B40274"/>
    <w:rsid w:val="00B4602C"/>
    <w:rsid w:val="00B50177"/>
    <w:rsid w:val="00B605AE"/>
    <w:rsid w:val="00B72450"/>
    <w:rsid w:val="00B75A62"/>
    <w:rsid w:val="00B9459A"/>
    <w:rsid w:val="00BB755E"/>
    <w:rsid w:val="00BF0703"/>
    <w:rsid w:val="00C26801"/>
    <w:rsid w:val="00C4414A"/>
    <w:rsid w:val="00C54122"/>
    <w:rsid w:val="00C9592F"/>
    <w:rsid w:val="00CF47F2"/>
    <w:rsid w:val="00CF64DD"/>
    <w:rsid w:val="00D42435"/>
    <w:rsid w:val="00D9443E"/>
    <w:rsid w:val="00DB2EB3"/>
    <w:rsid w:val="00DB4F6F"/>
    <w:rsid w:val="00DB554C"/>
    <w:rsid w:val="00DC20E9"/>
    <w:rsid w:val="00DE729B"/>
    <w:rsid w:val="00DF2373"/>
    <w:rsid w:val="00E10C64"/>
    <w:rsid w:val="00E23C11"/>
    <w:rsid w:val="00E32014"/>
    <w:rsid w:val="00E40760"/>
    <w:rsid w:val="00E42B7E"/>
    <w:rsid w:val="00E5429A"/>
    <w:rsid w:val="00E66796"/>
    <w:rsid w:val="00E85880"/>
    <w:rsid w:val="00E85A41"/>
    <w:rsid w:val="00EC3043"/>
    <w:rsid w:val="00ED1B91"/>
    <w:rsid w:val="00EE2578"/>
    <w:rsid w:val="00F0329C"/>
    <w:rsid w:val="00F32C23"/>
    <w:rsid w:val="00F44F3F"/>
    <w:rsid w:val="00F838E6"/>
    <w:rsid w:val="00FA328F"/>
    <w:rsid w:val="00FD12C2"/>
    <w:rsid w:val="00FE0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560D35"/>
    <w:pPr>
      <w:widowControl w:val="0"/>
      <w:autoSpaceDE w:val="0"/>
      <w:autoSpaceDN w:val="0"/>
      <w:spacing w:after="0" w:line="240" w:lineRule="auto"/>
      <w:ind w:left="239"/>
      <w:jc w:val="center"/>
      <w:outlineLvl w:val="0"/>
    </w:pPr>
    <w:rPr>
      <w:rFonts w:ascii="Palatino Linotype" w:eastAsia="Palatino Linotype" w:hAnsi="Palatino Linotype" w:cs="Palatino Linotype"/>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0D35"/>
    <w:rPr>
      <w:rFonts w:ascii="Palatino Linotype" w:eastAsia="Palatino Linotype" w:hAnsi="Palatino Linotype" w:cs="Palatino Linotype"/>
      <w:b/>
      <w:bCs/>
      <w:sz w:val="36"/>
      <w:szCs w:val="3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560D35"/>
    <w:pPr>
      <w:widowControl w:val="0"/>
      <w:autoSpaceDE w:val="0"/>
      <w:autoSpaceDN w:val="0"/>
      <w:spacing w:after="0" w:line="240" w:lineRule="auto"/>
      <w:ind w:left="239"/>
      <w:jc w:val="center"/>
      <w:outlineLvl w:val="0"/>
    </w:pPr>
    <w:rPr>
      <w:rFonts w:ascii="Palatino Linotype" w:eastAsia="Palatino Linotype" w:hAnsi="Palatino Linotype" w:cs="Palatino Linotype"/>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0D35"/>
    <w:rPr>
      <w:rFonts w:ascii="Palatino Linotype" w:eastAsia="Palatino Linotype" w:hAnsi="Palatino Linotype" w:cs="Palatino Linotype"/>
      <w:b/>
      <w:bCs/>
      <w:sz w:val="36"/>
      <w:szCs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Editorial Integra</dc:creator>
  <cp:lastModifiedBy>Editorial Integra</cp:lastModifiedBy>
  <cp:revision>1</cp:revision>
  <dcterms:created xsi:type="dcterms:W3CDTF">2026-03-10T15:54:00Z</dcterms:created>
  <dcterms:modified xsi:type="dcterms:W3CDTF">2026-03-10T15:59:00Z</dcterms:modified>
</cp:coreProperties>
</file>