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Cs/>
          <w:color w:val="000000"/>
          <w:sz w:val="24"/>
          <w:szCs w:val="24"/>
        </w:rPr>
        <w:t>03</w:t>
      </w:r>
      <w:r w:rsidRPr="00126CD7">
        <w:rPr>
          <w:bCs/>
          <w:color w:val="000000"/>
          <w:sz w:val="24"/>
          <w:szCs w:val="24"/>
        </w:rPr>
        <w:t xml:space="preserve"> </w:t>
      </w:r>
      <w:r>
        <w:rPr>
          <w:bCs/>
          <w:color w:val="000000"/>
          <w:sz w:val="24"/>
          <w:szCs w:val="24"/>
        </w:rPr>
        <w:t>Nisan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rPr>
          <w:color w:val="000000"/>
          <w:sz w:val="24"/>
          <w:szCs w:val="24"/>
        </w:rPr>
        <w:t xml:space="preserve">Lisans </w:t>
      </w:r>
      <w:r w:rsidRPr="00126CD7">
        <w:rPr>
          <w:color w:val="000000"/>
          <w:sz w:val="24"/>
          <w:szCs w:val="24"/>
        </w:rPr>
        <w:t>öğrenimim</w:t>
      </w:r>
      <w:r>
        <w:rPr>
          <w:color w:val="000000"/>
          <w:sz w:val="24"/>
          <w:szCs w:val="24"/>
        </w:rPr>
        <w:t>de</w:t>
      </w:r>
      <w:r w:rsidRPr="00126CD7">
        <w:rPr>
          <w:color w:val="000000"/>
          <w:sz w:val="24"/>
          <w:szCs w:val="24"/>
        </w:rPr>
        <w:t xml:space="preserve"> ve bu tezin hazırlanmasında gösterdiği her türlü destek ve yardımdan dolayı çok değerli hocam Prof. Dr. Xxxxx Xxxxx’e en içten dileklerimle teşekkür ederim. </w:t>
      </w:r>
    </w:p>
    <w:p w14:paraId="22EA1D36" w14:textId="77777777" w:rsidR="00CD634B" w:rsidRPr="00126CD7" w:rsidRDefault="00CD634B" w:rsidP="00CD634B">
      <w:pPr>
        <w:spacing w:after="240" w:line="360" w:lineRule="auto"/>
        <w:jc w:val="both"/>
        <w:rPr>
          <w:color w:val="000000"/>
          <w:sz w:val="24"/>
          <w:szCs w:val="24"/>
        </w:rPr>
      </w:pPr>
      <w:r>
        <w:t>Bu tez çalışmasının her aşamasında değerli yönlendirmeleri ve akademik rehberliğiyle süreci şekillendiren danışman hocam Dr. Öğr. Üyesi Büşra TAKGİL'e sonsuz teşekkürlerimi sunarım.</w:t>
      </w: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arkadaşlarıma teşekkür ederim.</w:t>
      </w:r>
    </w:p>
    <w:p w14:paraId="6DC2F9D3" w14:textId="77777777" w:rsidR="00CD634B" w:rsidRPr="00126CD7" w:rsidRDefault="00CD634B" w:rsidP="00CD634B">
      <w:pPr>
        <w:spacing w:line="360" w:lineRule="auto"/>
        <w:jc w:val="both"/>
        <w:rPr>
          <w:b/>
          <w:bCs/>
          <w:color w:val="000000"/>
          <w:sz w:val="24"/>
          <w:szCs w:val="24"/>
        </w:rPr>
      </w:pPr>
      <w:commentRangeStart w:id="6"/>
      <w:commentRangeEnd w:id="6"/>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5FDE960" w14:textId="77777777" w:rsidR="00811944" w:rsidRPr="00126CD7" w:rsidRDefault="00811944" w:rsidP="00811944">
      <w:pPr>
        <w:jc w:val="center"/>
        <w:rPr>
          <w:sz w:val="24"/>
          <w:szCs w:val="24"/>
        </w:rPr>
      </w:pPr>
      <w:r>
        <w:t>Hasan Arthur ALTUNTAŞ</w:t>
      </w:r>
    </w:p>
    <w:p w14:paraId="58EF02FB" w14:textId="77777777" w:rsidR="00811944" w:rsidRPr="00126CD7" w:rsidRDefault="00811944" w:rsidP="00811944">
      <w:pPr>
        <w:jc w:val="center"/>
        <w:rPr>
          <w:sz w:val="24"/>
          <w:szCs w:val="24"/>
        </w:rPr>
      </w:pPr>
      <w:r w:rsidRPr="00126CD7">
        <w:rPr>
          <w:sz w:val="24"/>
          <w:szCs w:val="24"/>
        </w:rPr>
        <w:t>Düzce Üniversitesi</w:t>
      </w:r>
    </w:p>
    <w:p w14:paraId="645241BB" w14:textId="77777777" w:rsidR="00811944" w:rsidRPr="00126CD7" w:rsidRDefault="00811944" w:rsidP="00811944">
      <w:pPr>
        <w:jc w:val="center"/>
        <w:rPr>
          <w:sz w:val="24"/>
          <w:szCs w:val="24"/>
        </w:rPr>
      </w:pPr>
      <w:r>
        <w:t>Mühendislik Fakültesi, Bilgisayar Mühendisliği Bitirme Tezi</w:t>
      </w:r>
    </w:p>
    <w:p w14:paraId="42B08803" w14:textId="77777777" w:rsidR="00811944" w:rsidRPr="00126CD7" w:rsidRDefault="00811944" w:rsidP="00811944">
      <w:pPr>
        <w:jc w:val="center"/>
        <w:rPr>
          <w:sz w:val="24"/>
          <w:szCs w:val="24"/>
        </w:rPr>
      </w:pPr>
      <w:r>
        <w:t>Danışman: Dr. Öğr. Üyesi Büşra TAKGİL</w:t>
      </w:r>
    </w:p>
    <w:p w14:paraId="095EB635" w14:textId="77777777" w:rsidR="00811944" w:rsidRPr="00126CD7" w:rsidRDefault="00811944" w:rsidP="00811944">
      <w:pPr>
        <w:spacing w:after="480"/>
        <w:jc w:val="center"/>
        <w:rPr>
          <w:sz w:val="24"/>
          <w:szCs w:val="24"/>
        </w:rPr>
      </w:pPr>
      <w:commentRangeStart w:id="11"/>
      <w:commentRangeEnd w:id="11"/>
      <w:r>
        <w:t>Haziran 2026</w:t>
      </w:r>
    </w:p>
    <w:p w14:paraId="1180BDF0" w14:textId="77777777" w:rsidR="00811944" w:rsidRDefault="00811944" w:rsidP="00811944">
      <w:pPr>
        <w:jc w:val="both"/>
        <w:rPr>
          <w:sz w:val="24"/>
          <w:szCs w:val="24"/>
        </w:rPr>
      </w:pPr>
      <w: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130359E3" w14:textId="77777777" w:rsidR="00811944" w:rsidRDefault="00811944" w:rsidP="00811944">
      <w:pPr>
        <w:spacing w:before="480"/>
        <w:jc w:val="both"/>
        <w:rPr>
          <w:sz w:val="24"/>
          <w:szCs w:val="24"/>
        </w:rPr>
      </w:pPr>
      <w:commentRangeStart w:id="12"/>
      <w:commentRangeEnd w:id="12"/>
      <w:r>
        <w:t>Anahtar Kelimeler: yapay zekâ müzik tespiti, akustik öznitelik, LightGBM, topluluk öğrenmesi, ses sınıflandırma.</w:t>
      </w:r>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Pr>
          <w:b/>
        </w:rPr>
        <w:t>AURIS: A MULTI-MODEL ENSEMBLE SYSTEM FOR AI-GENERATED MUSIC DETECTION USING ACOUSTIC FEATURES</w:t>
      </w:r>
    </w:p>
    <w:p w14:paraId="6D076AEB" w14:textId="77777777" w:rsidR="00811944" w:rsidRPr="004C0887" w:rsidRDefault="00811944" w:rsidP="00811944">
      <w:pPr>
        <w:jc w:val="center"/>
        <w:rPr>
          <w:sz w:val="24"/>
          <w:szCs w:val="24"/>
          <w:lang w:val="en-US"/>
        </w:rPr>
      </w:pPr>
      <w:r>
        <w:t>Hasan Arthur ALTUNTAŞ</w:t>
      </w:r>
    </w:p>
    <w:p w14:paraId="509D9D1A" w14:textId="77777777" w:rsidR="00811944" w:rsidRPr="004C0887" w:rsidRDefault="00811944" w:rsidP="00811944">
      <w:pPr>
        <w:jc w:val="center"/>
        <w:rPr>
          <w:sz w:val="24"/>
          <w:szCs w:val="24"/>
          <w:lang w:val="en-US"/>
        </w:rPr>
      </w:pPr>
      <w:r>
        <w:rPr>
          <w:sz w:val="24"/>
          <w:szCs w:val="24"/>
          <w:lang w:val="en-US"/>
        </w:rPr>
        <w:t>Dü</w:t>
      </w:r>
      <w:r w:rsidRPr="004C0887">
        <w:rPr>
          <w:sz w:val="24"/>
          <w:szCs w:val="24"/>
          <w:lang w:val="en-US"/>
        </w:rPr>
        <w:t>zce University</w:t>
      </w:r>
    </w:p>
    <w:p w14:paraId="49A0BF4B" w14:textId="14EF5FC8" w:rsidR="00811944" w:rsidRPr="004C0887" w:rsidRDefault="00811944" w:rsidP="00811944">
      <w:pPr>
        <w:jc w:val="center"/>
        <w:rPr>
          <w:sz w:val="24"/>
          <w:szCs w:val="24"/>
          <w:lang w:val="en-US"/>
        </w:rPr>
      </w:pPr>
      <w:r>
        <w:t>Faculty of Engineering, Computer Engineering, Undergraduate Thesis</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t>Supervisor: Asst. Prof. Dr. Büşra TAKGİL</w:t>
      </w:r>
    </w:p>
    <w:p w14:paraId="572F94B1" w14:textId="77777777" w:rsidR="00811944" w:rsidRPr="004C0887" w:rsidRDefault="00811944" w:rsidP="00811944">
      <w:pPr>
        <w:spacing w:after="120"/>
        <w:jc w:val="center"/>
        <w:rPr>
          <w:sz w:val="24"/>
          <w:szCs w:val="24"/>
          <w:lang w:val="en-US"/>
        </w:rPr>
      </w:pPr>
      <w:commentRangeStart w:id="13"/>
      <w:commentRangeEnd w:id="13"/>
      <w:r>
        <w:t>June 2026</w:t>
      </w:r>
    </w:p>
    <w:p w14:paraId="57683D04" w14:textId="77777777" w:rsidR="00811944" w:rsidRPr="004C0887" w:rsidRDefault="00811944" w:rsidP="00811944">
      <w:pPr>
        <w:jc w:val="both"/>
        <w:rPr>
          <w:sz w:val="24"/>
          <w:szCs w:val="24"/>
          <w:lang w:val="en-US"/>
        </w:rPr>
      </w:pPr>
      <w: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77777777" w:rsidR="00811944" w:rsidRPr="004C0887" w:rsidRDefault="00811944" w:rsidP="00811944">
      <w:pPr>
        <w:spacing w:before="480"/>
        <w:rPr>
          <w:sz w:val="24"/>
          <w:szCs w:val="24"/>
          <w:lang w:val="en-US"/>
        </w:rPr>
      </w:pPr>
      <w:commentRangeStart w:id="14"/>
      <w:commentRangeEnd w:id="14"/>
      <w:r>
        <w:t>Keywords: AI music detection, acoustic features, LightGBM, ensemble learning, audio classification.</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commentRangeStart w:id="15"/>
      <w:commentRangeEnd w:id="15"/>
      <w:r>
        <w:t>1. GİRİŞ</w:t>
      </w:r>
    </w:p>
    <w:p>
      <w:pPr>
        <w:pStyle w:val="Balk2"/>
      </w:pPr>
      <w:r>
        <w:t xml:space="preserve">1.1. Projenin Amacı ve Motivasyon</w:t>
      </w:r>
    </w:p>
    <w:p>
      <w:pPr>
        <w:pStyle w:val="PARAGRAFMETN"/>
      </w:pPr>
      <w:r>
        <w:t xml:space="preserve">Yapay zekâ teknolojilerinin gelişmesiyle birlikte müzik üretimi de köklü bir dönüşüm geçirmiştir. Suno, MusicGen, Udio ve Echoes gibi üretici yapay zekâ platformları, müzik teorisi bilgisi olmayan bir kullanıcının dakikalar içinde profesyonel kalitede parçalar üretmesine olanak tanımaktadır. Şekil 1.1'de yapay zekâ model eğitiminin genel şeması gösterilmektedir; veri hazırlığı, model eğitimi ve dağıtım aşamalarından oluşan bu süreç AURIS'in de temel geliştirme döngüsünü oluşturmaktadır.</w:t>
      </w:r>
    </w:p>
    <w:p>
      <w:pPr>
        <w:pStyle w:val="ekiller"/>
      </w:pPr>
      <w:r>
        <w:drawing>
          <wp:inline xmlns:a="http://schemas.openxmlformats.org/drawingml/2006/main" xmlns:pic="http://schemas.openxmlformats.org/drawingml/2006/picture">
            <wp:extent cx="5400000" cy="1045850"/>
            <wp:docPr id="109" name="Picture 109"/>
            <wp:cNvGraphicFramePr>
              <a:graphicFrameLocks noChangeAspect="1"/>
            </wp:cNvGraphicFramePr>
            <a:graphic>
              <a:graphicData uri="http://schemas.openxmlformats.org/drawingml/2006/picture">
                <pic:pic>
                  <pic:nvPicPr>
                    <pic:cNvPr id="0" name="paper_pipeline_diagram.png"/>
                    <pic:cNvPicPr/>
                  </pic:nvPicPr>
                  <pic:blipFill>
                    <a:blip r:embed="rId49"/>
                    <a:stretch>
                      <a:fillRect/>
                    </a:stretch>
                  </pic:blipFill>
                  <pic:spPr>
                    <a:xfrm>
                      <a:off x="0" y="0"/>
                      <a:ext cx="5400000" cy="1045850"/>
                    </a:xfrm>
                    <a:prstGeom prst="rect"/>
                  </pic:spPr>
                </pic:pic>
              </a:graphicData>
            </a:graphic>
          </wp:inline>
        </w:drawing>
      </w:r>
    </w:p>
    <w:p>
      <w:pPr>
        <w:pStyle w:val="ekilYazs"/>
      </w:pPr>
      <w:r>
        <w:rPr>
          <w:b/>
        </w:rPr>
        <w:t>Şekil 1.1. AURIS sistem akış diyagramı — ses girişinden YZ/İnsan kararına uçtan uca işlem hattı.</w:t>
      </w:r>
    </w:p>
    <w:p>
      <w:pPr>
        <w:pStyle w:val="PARAGRAFMETN"/>
      </w:pPr>
      <w:r>
        <w:t xml:space="preserve">Bu teknolojik dönüşüm ciddi etik, hukuki ve ekonomik sorunlar doğurmaktadır. Yapay zekâ üretimi parçaların insan eserleriyle karışarak streaming platformlarına yüklenmesi telif hakkı ihlallerine zemin hazırlamaktadır. Algoritmik öneri sistemleri yapay zekâ içeriklerini insanmış gibi sunarak insan sanatçıların gelirlerini zedelemektedir. Müzik yarışmalarında ve burs değerlendirmelerinde yapay zekâ eserlerinin insan yaratıcılığı olarak gösterilmesi de ayrı bir sorun oluşturmaktadır [1].</w:t>
      </w:r>
    </w:p>
    <w:p>
      <w:pPr>
        <w:pStyle w:val="PARAGRAFMETN"/>
      </w:pPr>
      <w:r>
        <w:t xml:space="preserve">Yapay zekâ üretimi ses tespitine ilişkin araştırmaların büyük bölümü konuşma sentezi ve ses derin sahteciliğine odaklanmış; müziğe özgü tespit sistemleri görece sınırlı kalmıştır. Liu vd. (2024) bu alanı "gelişmekte olan" olarak nitelendirmekte ve mevcut yaklaşımların tek üreticiye özgü olduğunu, dolayısıyla yeni sistemlere genelleme yapamadığını vurgulamaktadır [15]. Bhatt vd. (2025) ise çapraz-üretici genellemenin alanın temel açık problemi olduğunu ortaya koymaktadır [3].</w:t>
      </w:r>
    </w:p>
    <w:p>
      <w:pPr>
        <w:pStyle w:val="Balk2"/>
      </w:pPr>
      <w:r>
        <w:t xml:space="preserve">1.2. Araştırma Sorusu ve Hedefler</w:t>
      </w:r>
    </w:p>
    <w:p>
      <w:pPr>
        <w:pStyle w:val="PARAGRAFMETN"/>
      </w:pPr>
      <w:r>
        <w:t xml:space="preserve">Bu çalışmanın temel araştırma sorusu şöyledir: "Spektral, zamansal, ritmik, harmonik ve vokal boyutları kapsayan el ile tasarlanmış 47 akustik öznitelik, gradient boosting topluluğuyla birleştirildiğinde, uçtan uca derin öğrenme yaklaşımlarıyla rekabet edebilir bir yapay zekâ müziği tespit performansı sağlayabilir mi?"</w:t>
      </w:r>
    </w:p>
    <w:p>
      <w:pPr>
        <w:pStyle w:val="PARAGRAFMETN"/>
      </w:pPr>
      <w:r>
        <w:t xml:space="preserve">Belirlenen hedefler: (1) 5 kategoride 47 öznitelikten oluşan kapsamlı ve yorumlanabilir akustik öznitelik vektörü tasarlamak; (2) 8 kaynaktan derlenen 5.195 örnekli gerçek dünya veri kümesi oluşturmak; (3) 7 klasik MO ve 4 derin öğrenme modelini aynı protokolle karşılaştırmak; (4) Youden J istatistiğiyle optimal karar eşiği belirlemek; (5) SHAP entegrasyonuyla her kararı açıklanabilir kılmak; (6) Sistemi web, Android ve API katmanlarıyla üretim ortamına taşımak.</w:t>
      </w:r>
    </w:p>
    <w:p>
      <w:pPr>
        <w:pStyle w:val="Balk2"/>
      </w:pPr>
      <w:r>
        <w:t xml:space="preserve">1.3. BM401–BM498 İki Dönemlik Süreç</w:t>
      </w:r>
    </w:p>
    <w:p>
      <w:pPr>
        <w:pStyle w:val="PARAGRAFMETN"/>
      </w:pPr>
      <w:r>
        <w:t xml:space="preserve">BM401 (2024-2025 Güz Dönemi) aşamasında wav2vec2 tabanlı hibrit bir yaklaşım tasarlanmış; Next.js 14 web platformu ve Kotlin Android uygulaması prototip düzeyinde geliştirilmiştir. BM498 (2024-2025 Bahar Dönemi) aşamasında ise araştırma odağı köklü biçimde değişmiştir: wav2vec2 embedding'lerinin yorumlanamazlığı nedeniyle el ile tasarlanmış 47 boyutlu akustik öznitelik vektörüne geçilmiş, veri kümesi 5.195 örneğe genişletilmiş ve SHAP açıklanabilirlik katmanı eklenmiştir.</w:t>
      </w:r>
    </w:p>
    <w:p>
      <w:pPr>
        <w:pStyle w:val="Balk2"/>
      </w:pPr>
      <w:r>
        <w:t xml:space="preserve">1.4. Tez Organizasyonu</w:t>
      </w:r>
    </w:p>
    <w:p>
      <w:pPr>
        <w:pStyle w:val="PARAGRAFMETN"/>
      </w:pPr>
      <w:r>
        <w:t xml:space="preserve">Bölüm 2'de ilgili literatür, Bölüm 3'te materyal ve yöntem (veri kümesi, öznitelik mühendisliği, model mimarileri, uygulama), Bölüm 4'te bulgular, Bölüm 5'te tartışma, Bölüm 6'da sonuçlar ve öneriler sunulmaktadır.</w:t>
      </w:r>
    </w:p>
    <w:p w14:paraId="45607969" w14:textId="77777777" w:rsidR="00811944" w:rsidRPr="00126CD7" w:rsidRDefault="00811944" w:rsidP="00811944">
      <w:pPr>
        <w:pStyle w:val="Balk1"/>
      </w:pPr>
      <w:commentRangeStart w:id="16"/>
      <w:commentRangeEnd w:id="16"/>
      <w:r>
        <w:t>2. LİTERATÜR TARAMASI</w:t>
      </w:r>
    </w:p>
    <w:p>
      <w:pPr>
        <w:pStyle w:val="Balk2"/>
      </w:pPr>
      <w:r>
        <w:t xml:space="preserve">2.1. Yapay Zekâ Müzik Üretim Sistemleri</w:t>
      </w:r>
    </w:p>
    <w:p>
      <w:pPr>
        <w:pStyle w:val="PARAGRAFMETN"/>
      </w:pPr>
      <w:r>
        <w:t xml:space="preserve">Müzik üretiminde yapay zekâ son yıllarda üç ana paradigma etrafında şekillenmiştir: otoregresif modeller, difüzyon modelleri ve transformer tabanlı metin-müzik dönüşümü. Dhariwal vd. (2020) tarafından geliştirilen Jukebox, hiyerarşik VQ-VAE mimarisini kullanarak ham ses formunda üretim yapan ilk büyük ölçekli modeldir [6]. 1,2 milyar parametresiyle dönemin en büyük müzik modeli olan Jukebox, şarkı sözleri ve sanatçı stilini koşul olarak alabilmektedir.</w:t>
      </w:r>
    </w:p>
    <w:p>
      <w:pPr>
        <w:pStyle w:val="PARAGRAFMETN"/>
      </w:pPr>
      <w:r>
        <w:t xml:space="preserve">Meta AI tarafından geliştirilen MusicGen (Copet vd., 2023), metin ve melodi koşullandırmalı decoder-only transformer mimarisidir [5]. EnCodec ses kodlayıcısı üzerine inşa edilmiş olan model, 300M ile 3,3B parametre arasında üç ölçekte açık kaynak lisansıyla yayımlanmıştır. AudioLDM (Liu vd., 2023) ise latent difüzyon modellerini ses üretimine uyarlayan; CLAP gösterimleriyle koşullandırılan yüksek kaliteli bir ses sentez mimarisidir [14].</w:t>
      </w:r>
    </w:p>
    <w:p>
      <w:pPr>
        <w:pStyle w:val="Balk2"/>
      </w:pPr>
      <w:r>
        <w:t xml:space="preserve">2.2. Ses Derin Sahteciliği Tespiti</w:t>
      </w:r>
    </w:p>
    <w:p>
      <w:pPr>
        <w:pStyle w:val="PARAGRAFMETN"/>
      </w:pPr>
      <w:r>
        <w:t xml:space="preserve">Yapay zekâ üretimi ses tespitine ilişkin sistematik araştırma, konuşma sentezi ve ses derin sahteciliği alanından başlamıştır. WaveFake veri kümesi (Frank ve Schönherr, 2021), yedi farklı vocoder mimarisinin çıktılarını barındıran temel bir kıyaslama noktası oluşturmuştur [8]. ADD 2022 Yarışması (Yi vd., 2022) ses derin sahteciliği tespiti alanında üç farklı zorluğu kapsamış; Yi vd. (2023) ise 2008-2023 yıllarını kapsayan kapsamlı bir derleme çalışması sunmuştur [23],[24].</w:t>
      </w:r>
    </w:p>
    <w:p>
      <w:pPr>
        <w:pStyle w:val="PARAGRAFMETN"/>
      </w:pPr>
      <w:r>
        <w:t xml:space="preserve">Afchar vd. (2025), oto-kodlayıcı artefaktlarından yararlanarak %99,8 doğruluğa ulaşıldığını, ancak MP3 sıkıştırma ve perde kaydırma gibi basit işlemlerin tespit oranlarını önemli ölçüde düşürdüğünü IEEE ICASSP 2025'te sunmuştur [1].</w:t>
      </w:r>
    </w:p>
    <w:p>
      <w:pPr>
        <w:pStyle w:val="Balk2"/>
      </w:pPr>
      <w:r>
        <w:t xml:space="preserve">2.3. Transformer Tabanlı Ses Gösterimleri</w:t>
      </w:r>
    </w:p>
    <w:p>
      <w:pPr>
        <w:pStyle w:val="PARAGRAFMETN"/>
      </w:pPr>
      <w:r>
        <w:t xml:space="preserve">wav2vec2 (Baevski vd., 2020) etiketlenmemiş konuşma verisi üzerinde öz-denetimli öğrenme yapan bir transformer modelidir [2]. Martín-Doñas ve Álvarez (2022), wav2vec2'yi ADD 2022 yarışmasına doğrudan uygulayarak öznitelik mühendisliği gerektirmeksizin rekabetçi sonuçlar elde etmiştir [18]. CLAP (Elizalde vd., 2023), karşıtsal önceden eğitimi ses-metin embedding uzayına genişletmekte; LAION-CLAP varyantı (Wu vd., 2023) 630.000 ses-metin çifti üzerinde eğitilmiştir [7],[22]. Kosta vd. (2025) ise müzik bölümlerini işleyen Segment Transformer'ı önermiştir [12].</w:t>
      </w:r>
    </w:p>
    <w:p>
      <w:pPr>
        <w:pStyle w:val="Balk2"/>
      </w:pPr>
      <w:r>
        <w:t xml:space="preserve">2.4. Topluluk Yöntemleri ve Ses Sınıflandırması</w:t>
      </w:r>
    </w:p>
    <w:p>
      <w:pPr>
        <w:pStyle w:val="PARAGRAFMETN"/>
      </w:pPr>
      <w:r>
        <w:t xml:space="preserve">Topluluk yaklaşımları müzik analizi görevlerinde tek model sınıflandırıcılarını tutarlı biçimde geride bırakmaktadır. Kostrzewa vd. (2022), geniş sinir ağı topluluklarının müzik türü sınıflandırmasında varyansı azalttığını göstermiştir [13]. Gan vd. (2024), VMD tabanlı öznitelik ayrıştırmasıyla birleştirilen XGBoost'un rekabetçi müzik türü sınıflandırması gerçekleştirdiğini bildirmiştir [9]. Gourisaria vd. (2024), MFCC ve STFT özniteliklerinin karşılaştırmalı analizinde her iki öznitelik setinin birlikte kullanılmasının en iyi sonucu verdiğini bulmuştur [10].</w:t>
      </w:r>
    </w:p>
    <w:p>
      <w:pPr>
        <w:pStyle w:val="Balk2"/>
      </w:pPr>
      <w:r>
        <w:t xml:space="preserve">2.5. Mevcut Tespit Sistemleri ve Araştırma Boşlukları</w:t>
      </w:r>
    </w:p>
    <w:p>
      <w:pPr>
        <w:pStyle w:val="PARAGRAFMETN"/>
      </w:pPr>
      <w:r>
        <w:t xml:space="preserve">IRCAM Amplify kapalı kaynaklı bir API hizmeti olarak yüksek doğruluk bildirmekte; ancak eğitim verisi ve metodoloji hakkında şeffaflık sunmamaktadır [1]. Believe AI Radar ticari bir çözüm olup ücretli erişim modeli akademik kullanımı kısıtlamaktadır. AURIS bu boşlukları; (1) kamuya açık çok üreticili veri kümesi, (2) şeffaf 5 katlı çapraz doğrulama, (3) SHAP tabanlı açıklanabilirlik ve (4) ücretsiz web/mobil dağıtım ile kapatmaktadır.</w:t>
      </w:r>
    </w:p>
    <w:p w14:paraId="3BD216E3" w14:textId="77777777" w:rsidR="00811944" w:rsidRPr="0034364C" w:rsidRDefault="00811944" w:rsidP="00811944">
      <w:pPr>
        <w:pStyle w:val="Balk1"/>
      </w:pPr>
      <w:commentRangeStart w:id="30"/>
      <w:commentRangeEnd w:id="30"/>
      <w:r>
        <w:t>3. MATERYAL VE YÖNTEM</w:t>
      </w:r>
    </w:p>
    <w:p>
      <w:pPr>
        <w:pStyle w:val="Balk2"/>
      </w:pPr>
      <w:r>
        <w:t xml:space="preserve">3.1. Sistem Mimarisi</w:t>
      </w:r>
    </w:p>
    <w:p>
      <w:pPr>
        <w:pStyle w:val="PARAGRAFMETN"/>
      </w:pPr>
      <w:r>
        <w:t xml:space="preserve">AURIS dört ana modülden oluşmaktadır: (1) Ses Ön İşleme — format standartlaştırma, yeniden örnekleme, süre normalizasyonu; (2) Öznitelik Çıkarma — librosa tabanlı 47 boyutlu vektör hesaplama; (3) Sınıflandırma — 11 modelin 5 katlı çapraz doğrulamayla eğitimi ve Youden J eşik optimizasyonu; (4) Açıklama — SHAP değerlerinin hesaplanması ve görsel sunumu. Desteklenen giriş formatları: MP3, WAV, FLAC, OGG (maks. 50 MB) ve YouTube bağlantısı.</w:t>
      </w:r>
    </w:p>
    <w:p>
      <w:pPr>
        <w:pStyle w:val="Balk2"/>
      </w:pPr>
      <w:r>
        <w:t xml:space="preserve">3.2. Veri Kümesi</w:t>
      </w:r>
    </w:p>
    <w:p>
      <w:pPr>
        <w:pStyle w:val="Balk3"/>
      </w:pPr>
      <w:r>
        <w:t xml:space="preserve">3.2.1. Derleme Stratejisi</w:t>
      </w:r>
    </w:p>
    <w:p>
      <w:pPr>
        <w:pStyle w:val="PARAGRAFMETN"/>
      </w:pPr>
      <w:r>
        <w:t xml:space="preserve">Veri kümesi, kaynak kökenine dayalı otomatik etiketleme stratejisiyle oluşturulmuştur. Bilinen yapay zekâ üretim platformlarından gelen örnekler "1" (YZ), insan müziği arşivlerinden gelenler "0" (İnsan) olarak etiketlenmiştir. Yalnızca kamuya açık ve Creative Commons lisanslı arşivler kullanılmıştır; veri sızıntısını önlemek için duration_sec ve sample_rate meta verileri öznitelik vektörünün dışında bırakılmıştır.</w:t>
      </w:r>
    </w:p>
    <w:p>
      <w:pPr>
        <w:pStyle w:val="Balk3"/>
      </w:pPr>
      <w:r>
        <w:t xml:space="preserve">3.2.2. Kaynak Dağılımı</w:t>
      </w:r>
    </w:p>
    <w:p>
      <w:pPr>
        <w:pStyle w:val="PARAGRAFMETN"/>
      </w:pPr>
      <w:r>
        <w:t xml:space="preserve">Şekil 3.1'de YZ ve İnsan müziği örneklerinin temel öznitelik dağılımları karşılaştırmalı olarak sunulmaktadır. Veri kümesi 5.195 ses kaydından oluşmaktadır: 3.113 insan (%59,9) ve 2.082 yapay zekâ (%40,1). YZ kaynakları: SleepyJesse/ai_music_large (~2.000, 12+ üretici), disco-eth/AIME (~1.000, Suno v3/v4/v5, Udio, MusicGen, AudioLDM2 dahil 12 sistem), zuhri025/suno-audio (~500). İnsan kaynakları: marsyas/gtzan (999), benjamin-paine/free-music-archive-small (~1.000), SleepyJesse insan bölünümü (~2.000).</w:t>
      </w:r>
    </w:p>
    <w:p>
      <w:pPr>
        <w:pStyle w:val="ekill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pPr>
      <w:r>
        <w:rPr>
          <w:b/>
        </w:rPr>
        <w:t>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pPr>
      <w:r>
        <w:drawing>
          <wp:inline xmlns:a="http://schemas.openxmlformats.org/drawingml/2006/main" xmlns:pic="http://schemas.openxmlformats.org/drawingml/2006/picture">
            <wp:extent cx="5220000" cy="2821821"/>
            <wp:docPr id="111" name="Picture 111"/>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pPr>
      <w:r>
        <w:rPr>
          <w:b/>
        </w:rPr>
        <w:t>Şekil 3.2. Kaynak bazlı performans — LightGBM, θ*=0,4316 (5 katlı çapraz doğrulama tahminleri üzerinde).</w:t>
      </w:r>
    </w:p>
    <w:p>
      <w:pPr>
        <w:pStyle w:val="Balk3"/>
      </w:pPr>
      <w:r>
        <w:t xml:space="preserve">3.2.3. Ön İşleme Hattı</w:t>
      </w:r>
    </w:p>
    <w:p>
      <w:pPr>
        <w:pStyle w:val="PARAGRAFMETN"/>
      </w:pPr>
      <w:r>
        <w:t xml:space="preserve">Standartlaştırma adımları: (1) 22.050 Hz'ye yeniden örnekleme; (2) Stereo→mono dönüşüm; (3) 30 sn üzeri kırpma, kısa kayıtlar sıfır dolgu; (4) Kalite filtresi — min 1 sn uzunluk ve min 1e-6 genlik; (5) Veri sızıntısı önlemi — duration_sec ve sample_rate öznitelik vektöründen çıkarıldı.</w:t>
      </w:r>
    </w:p>
    <w:p>
      <w:pPr>
        <w:pStyle w:val="Balk2"/>
      </w:pPr>
      <w:r>
        <w:t xml:space="preserve">3.3. Öznitelik Mühendisliği</w:t>
      </w:r>
    </w:p>
    <w:p>
      <w:pPr>
        <w:pStyle w:val="Balk3"/>
      </w:pPr>
      <w:r>
        <w:t xml:space="preserve">3.3.1. 47 Boyutlu Öznitelik Vektörü</w:t>
      </w:r>
    </w:p>
    <w:p>
      <w:pPr>
        <w:pStyle w:val="PARAGRAFMETN"/>
      </w:pPr>
      <w:r>
        <w:t xml:space="preserve">AURIS, librosa v0.10.1 [19] ile 47 boyutlu öznitelik vektörü çıkarmaktadır. Kategoriler: Spektral (16) — MFCC varyans/delta/delta², spectral_centroid, bandwidth, rolloff, flatness, contrast, regularity; Zamansal/Ritmik (10) — RMS enerji/std/dinamik aralık, sıfır geçiş oranı, tempo BPM/stabilite/CV; Onset/Beat (9) — onset güç ort/std, beat sayısı, IBI stabilitesi; Harmonik/Tonal (8) — chroma entropi/std/geçiş hızı, Tonnetz std, harmonik oran; Vokal/İfadesel (4) — perde stabilitesi, vibrato düzenliliği, formant tutarlılığı, nefes örüntüsü.</w:t>
      </w:r>
    </w:p>
    <w:p>
      <w:pPr>
        <w:pStyle w:val="PARAGRAFMETN"/>
      </w:pPr>
      <w:r>
        <w:t xml:space="preserve">Şekil 3.3'te öznitelikler arası Pearson korelasyon ısı haritası sunulmaktadır. Koyu turuncu hücreler güçlü pozitif korelasyonu temsil etmektedir. Spektral öznitelikler kendi aralarında yüksek korelasyon sergilerken vokal öznitelikler ayrı bir küme oluşturmaktadır.</w:t>
      </w:r>
    </w:p>
    <w:p>
      <w:pPr>
        <w:pStyle w:val="ekiller"/>
      </w:pPr>
      <w:r>
        <w:drawing>
          <wp:inline xmlns:a="http://schemas.openxmlformats.org/drawingml/2006/main" xmlns:pic="http://schemas.openxmlformats.org/drawingml/2006/picture">
            <wp:extent cx="4860000" cy="4478554"/>
            <wp:docPr id="112" name="Picture 112"/>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4860000" cy="4478554"/>
                    </a:xfrm>
                    <a:prstGeom prst="rect"/>
                  </pic:spPr>
                </pic:pic>
              </a:graphicData>
            </a:graphic>
          </wp:inline>
        </w:drawing>
      </w:r>
    </w:p>
    <w:p>
      <w:pPr>
        <w:pStyle w:val="ekilYazs"/>
      </w:pPr>
      <w:r>
        <w:rPr>
          <w:b/>
        </w:rPr>
        <w:t>Şekil 3.3. Öznitelik korelasyon ısı haritası — Pearson r, 5.195 parça üzerinden.</w:t>
      </w:r>
    </w:p>
    <w:p>
      <w:pPr>
        <w:pStyle w:val="Balk3"/>
      </w:pPr>
      <w:r>
        <w:t xml:space="preserve">3.3.2. Ablasyon Analizi</w:t>
      </w:r>
    </w:p>
    <w:p>
      <w:pPr>
        <w:pStyle w:val="PARAGRAFMETN"/>
      </w:pPr>
      <w:r>
        <w:t xml:space="preserve">Şekil 3.4'te LightGBM doğruluğunun öznitelik sayısına göre değişimi gösterilmektedir. Tek öznitelikle 0,598 olan doğruluk, 20 öznitelikte 0,880'e, 47 öznitelikte 0,884'e ulaşmaktadır. Doğruluk eğrisi 20 öznitelik civarında doyuma ulaşmakta; bu bulgu, öznitelik vektörünün büyük bölümünün ayrımcı bilgi taşıdığını göstermektedir.</w:t>
      </w:r>
    </w:p>
    <w:p>
      <w:pPr>
        <w:pStyle w:val="ekiller"/>
      </w:pPr>
      <w:r>
        <w:drawing>
          <wp:inline xmlns:a="http://schemas.openxmlformats.org/drawingml/2006/main" xmlns:pic="http://schemas.openxmlformats.org/drawingml/2006/picture">
            <wp:extent cx="4860000" cy="3290068"/>
            <wp:docPr id="113" name="Picture 113"/>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4860000" cy="3290068"/>
                    </a:xfrm>
                    <a:prstGeom prst="rect"/>
                  </pic:spPr>
                </pic:pic>
              </a:graphicData>
            </a:graphic>
          </wp:inline>
        </w:drawing>
      </w:r>
    </w:p>
    <w:p>
      <w:pPr>
        <w:pStyle w:val="ekilYazs"/>
      </w:pPr>
      <w:r>
        <w:rPr>
          <w:b/>
        </w:rPr>
        <w:t>Şekil 3.4. Öznitelik çıkarma — LightGBM doğruluğu vs. öznitelik sayısı (öneme göre sıralı).</w:t>
      </w:r>
    </w:p>
    <w:p>
      <w:pPr>
        <w:pStyle w:val="Balk2"/>
      </w:pPr>
      <w:r>
        <w:t xml:space="preserve">3.4. Sınıflandırma Modelleri</w:t>
      </w:r>
    </w:p>
    <w:p>
      <w:pPr>
        <w:pStyle w:val="Balk3"/>
      </w:pPr>
      <w:r>
        <w:t xml:space="preserve">3.4.1. Klasik Makine Öğrenmesi Modelleri (7)</w:t>
      </w:r>
    </w:p>
    <w:p>
      <w:pPr>
        <w:pStyle w:val="PARAGRAFMETN"/>
      </w:pPr>
      <w:r>
        <w:t xml:space="preserve">scikit-learn [21], XGBoost [4] ve LightGBM [11] ile 7 model eğitilmiştir. Lojistik Regresyon: C=2,0, class_weight=balanced. Rastgele Orman: n_est=500, max_features=log2. Gradyan Artırma: n_est=180, max_depth=4, lr=0,07. SVM-RBF: C=10, gamma=0,05, CalibratedClassifierCV. ÇKA Sinir Ağı: gizli=[192,96,32], alpha=0,001. XGBoost: n_est=240, max_depth=5, lr=0,06. LightGBM: n_est=300, num_leaves=31, lr=0,05.</w:t>
      </w:r>
    </w:p>
    <w:p>
      <w:pPr>
        <w:pStyle w:val="Balk3"/>
      </w:pPr>
      <w:r>
        <w:t xml:space="preserve">3.4.2. Derin Öğrenme Modelleri (4)</w:t>
      </w:r>
    </w:p>
    <w:p>
      <w:pPr>
        <w:pStyle w:val="PARAGRAFMETN"/>
      </w:pPr>
      <w:r>
        <w:t xml:space="preserve">PyTorch [20] ile 4 derin öğrenme modeli tasarlanmıştır. BCEWithLogitsLoss ve Adam (lr=1e-3) tüm modellerde ortak kullanılmıştır. Derin ÇKA (512-256-128-64-1): BatchNorm + Dropout(0,3), 81,4 sn. 1B-ESA (1D-CNN): Conv1D(1→32→64→128)+GlobalAvgPool+FC(128→1), 125,0 sn. Artık ÇKA (3 blok, 64 boyut): artık bağlantılar, 128,7 sn. Dikkat ÇKA: öz-dikkat (64 boyut) + ileri beslemeli katmanlar, 149,6 sn.</w:t>
      </w:r>
    </w:p>
    <w:p>
      <w:pPr>
        <w:pStyle w:val="Balk2"/>
      </w:pPr>
      <w:r>
        <w:t xml:space="preserve">3.5. Eğitim Protokolü</w:t>
      </w:r>
    </w:p>
    <w:p>
      <w:pPr>
        <w:pStyle w:val="Balk3"/>
      </w:pPr>
      <w:r>
        <w:t xml:space="preserve">3.5.1. 5 Katlı Tabakalı Çapraz Doğrulama</w:t>
      </w:r>
    </w:p>
    <w:p>
      <w:pPr>
        <w:pStyle w:val="PARAGRAFMETN"/>
      </w:pPr>
      <w:r>
        <w:t xml:space="preserve">Tüm modeller StratifiedKFold (k=5, random_state=42) ile değerlendirilmiştir. Tabakalama her katlamada sınıf dağılımını (%59,9 İnsan / %40,1 YZ) korur. StandardScaler yalnızca eğitim alt kümesine uyarlanmış, doğrulama alt kümesine dönüşüm uygulanmıştır — veri sızıntısını önleyen sızdırmaz ölçekleme.</w:t>
      </w:r>
    </w:p>
    <w:p>
      <w:pPr>
        <w:pStyle w:val="PARAGRAFMETN"/>
      </w:pPr>
      <w:r>
        <w:t xml:space="preserve">Şekil 3.5'te eğitim doğruluğu ile 5 katlı CV doğruluğu arasındaki fark (aşırı öğrenme tanısı) gösterilmektedir. Rastgele Orman, SVM-RBF ve LightGBM eğitim setinde %100'e yakın doğruluk sergilerken CV'de anlamlı düşüş yaşamaktadır; bu LightGBM için en küçük açıktır.</w:t>
      </w:r>
    </w:p>
    <w:p>
      <w:pPr>
        <w:pStyle w:val="ekiller"/>
      </w:pPr>
      <w:r>
        <w:drawing>
          <wp:inline xmlns:a="http://schemas.openxmlformats.org/drawingml/2006/main" xmlns:pic="http://schemas.openxmlformats.org/drawingml/2006/picture">
            <wp:extent cx="5220000" cy="3378080"/>
            <wp:docPr id="114" name="Picture 114"/>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220000" cy="3378080"/>
                    </a:xfrm>
                    <a:prstGeom prst="rect"/>
                  </pic:spPr>
                </pic:pic>
              </a:graphicData>
            </a:graphic>
          </wp:inline>
        </w:drawing>
      </w:r>
    </w:p>
    <w:p>
      <w:pPr>
        <w:pStyle w:val="ekilYazs"/>
      </w:pPr>
      <w:r>
        <w:rPr>
          <w:b/>
        </w:rPr>
        <w:t>Şekil 3.5. Eğitim ve çapraz doğrulama doğruluğu — aşırı öğrenme tanısı.</w:t>
      </w:r>
    </w:p>
    <w:p>
      <w:pPr>
        <w:pStyle w:val="Balk3"/>
      </w:pPr>
      <w:r>
        <w:t xml:space="preserve">3.5.2. Youden J Eşik Optimizasyonu</w:t>
      </w:r>
    </w:p>
    <w:p>
      <w:pPr>
        <w:pStyle w:val="PARAGRAFMETN"/>
      </w:pPr>
      <w:r>
        <w:t xml:space="preserve">Her katlama için θ* = argmax(Duyarlılık + Özgüllük − 1) hesaplanmaktadır. LightGBM için θ* = 0,4316 olarak belirlenmiştir. Şekil 3.6'da eşik taraması grafiği sunulmaktadır: Kesinlik, Duyarlılık, F1 Skoru ve Doğruluk eğrilerinin θ=0,4316'da optimuma ulaştığı açıkça görülmektedir. Varsayılan 0,5 eşiğine kıyasla Youden eşiği dengeli hata profili sağlamaktadır.</w:t>
      </w:r>
    </w:p>
    <w:p>
      <w:pPr>
        <w:pStyle w:val="ekiller"/>
      </w:pPr>
      <w:r>
        <w:drawing>
          <wp:inline xmlns:a="http://schemas.openxmlformats.org/drawingml/2006/main" xmlns:pic="http://schemas.openxmlformats.org/drawingml/2006/picture">
            <wp:extent cx="5040000" cy="3507398"/>
            <wp:docPr id="115" name="Picture 115"/>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040000" cy="3507398"/>
                    </a:xfrm>
                    <a:prstGeom prst="rect"/>
                  </pic:spPr>
                </pic:pic>
              </a:graphicData>
            </a:graphic>
          </wp:inline>
        </w:drawing>
      </w:r>
    </w:p>
    <w:p>
      <w:pPr>
        <w:pStyle w:val="ekilYazs"/>
      </w:pPr>
      <w:r>
        <w:rPr>
          <w:b/>
        </w:rPr>
        <w:t>Şekil 3.6. Eşik taraması — Kesinlik / Duyarlılık / F1 eşiğe göre (LightGBM). Youden-J en iyi θ*=0,4316.</w:t>
      </w:r>
    </w:p>
    <w:p>
      <w:pPr>
        <w:pStyle w:val="Balk2"/>
      </w:pPr>
      <w:r>
        <w:t xml:space="preserve">3.6. SHAP Açıklanabilirlik Entegrasyonu</w:t>
      </w:r>
    </w:p>
    <w:p>
      <w:pPr>
        <w:pStyle w:val="PARAGRAFMETN"/>
      </w:pPr>
      <w:r>
        <w:t xml:space="preserve">AURIS her tahmin için SHAP (Lundberg ve Lee, 2017) [17] değerlerini hesaplamaktadır. LightGBM'in TreeExplainer arayüzü SHAP değerlerini lineer zamanda hesaplayarak gerçek zamanlı kullanım için pratik avantaj sağlamaktadır. Kullanıcıya her analizde hangi özniteliklerin YZ ya da İnsan kararına ne kadar katkı yaptığı görsel olarak sunulmaktadır.</w:t>
      </w:r>
    </w:p>
    <w:p>
      <w:pPr>
        <w:pStyle w:val="Balk2"/>
      </w:pPr>
      <w:r>
        <w:t xml:space="preserve">3.7. Uygulama Mimarisi</w:t>
      </w:r>
    </w:p>
    <w:p>
      <w:pPr>
        <w:pStyle w:val="PARAGRAFMETN"/>
      </w:pPr>
      <w:r>
        <w:t xml:space="preserve">AURIS üç katmanlı bir uygulama mimarisine sahiptir. Web platformu Next.js 14 + TypeScript ile geliştirilmiş; Netlify CDN üzerinde statik dağıtım yapılmaktadır. Android uygulaması Kotlin + Jetpack Compose ile MVVM/Clean Architecture deseni, API 26+ (Android 8.0), Hilt DI, Retrofit ve Room ile geliştirilmiştir. FastAPI arka ucu Python 3.11 ile HuggingFace Spaces'ta 7860 portunda Docker konteyneri olarak çalışmaktadır.</w:t>
      </w:r>
    </w:p>
    <w:p>
      <w:pPr>
        <w:pStyle w:val="PARAGRAFMETN"/>
      </w:pPr>
      <w:r>
        <w:t xml:space="preserve">Şekil 3.7'de AURIS web platformunun kullanıcı arayüzü gösterilmektedir. Kullanıcılar dosya yükleyebilir, YouTube bağlantısı analiz edebilir ve SHAP açıklamasını görüntüleyebilir.</w:t>
      </w:r>
    </w:p>
    <w:p>
      <w:pPr>
        <w:pStyle w:val="ekiller"/>
      </w:pPr>
      <w:r>
        <w:drawing>
          <wp:inline xmlns:a="http://schemas.openxmlformats.org/drawingml/2006/main" xmlns:pic="http://schemas.openxmlformats.org/drawingml/2006/picture">
            <wp:extent cx="5040000" cy="3150000"/>
            <wp:docPr id="116" name="Picture 116"/>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040000" cy="3150000"/>
                    </a:xfrm>
                    <a:prstGeom prst="rect"/>
                  </pic:spPr>
                </pic:pic>
              </a:graphicData>
            </a:graphic>
          </wp:inline>
        </w:drawing>
      </w:r>
    </w:p>
    <w:p>
      <w:pPr>
        <w:pStyle w:val="ekilYazs"/>
      </w:pPr>
      <w:r>
        <w:rPr>
          <w:b/>
        </w:rPr>
        <w:t>Şekil 3.7. AURIS web platformu ana ekranı (Next.js 14, Netlify).</w:t>
      </w:r>
    </w:p>
    <w:p>
      <w:pPr>
        <w:pStyle w:val="ekiller"/>
      </w:pPr>
      <w:r>
        <w:drawing>
          <wp:inline xmlns:a="http://schemas.openxmlformats.org/drawingml/2006/main" xmlns:pic="http://schemas.openxmlformats.org/drawingml/2006/picture">
            <wp:extent cx="5040000" cy="3150000"/>
            <wp:docPr id="117" name="Picture 117"/>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040000" cy="3150000"/>
                    </a:xfrm>
                    <a:prstGeom prst="rect"/>
                  </pic:spPr>
                </pic:pic>
              </a:graphicData>
            </a:graphic>
          </wp:inline>
        </w:drawing>
      </w:r>
    </w:p>
    <w:p>
      <w:pPr>
        <w:pStyle w:val="ekilYazs"/>
      </w:pPr>
      <w:r>
        <w:rPr>
          <w:b/>
        </w:rPr>
        <w:t>Şekil 3.8. AURIS web platformu dosya yükleme ve YouTube analiz bölümü.</w:t>
      </w:r>
    </w:p>
    <w:p>
      <w:pPr>
        <w:pStyle w:val="PARAGRAFMETN"/>
      </w:pPr>
      <w:r>
        <w:t xml:space="preserve">Şekil 3.9'da AURIS Android mobil uygulamasının ana ekranı ve analiz arayüzü gösterilmektedir.</w:t>
      </w:r>
    </w:p>
    <w:p>
      <w:pPr>
        <w:pStyle w:val="ekiller"/>
      </w:pPr>
      <w:r>
        <w:drawing>
          <wp:inline xmlns:a="http://schemas.openxmlformats.org/drawingml/2006/main" xmlns:pic="http://schemas.openxmlformats.org/drawingml/2006/picture">
            <wp:extent cx="2700000" cy="5843077"/>
            <wp:docPr id="118" name="Picture 118"/>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pPr>
      <w:r>
        <w:rPr>
          <w:b/>
        </w:rPr>
        <w:t>Şekil 3.9. AURIS Android uygulaması ana ekranı (Kotlin/Jetpack Compose, API 26+).</w:t>
      </w:r>
    </w:p>
    <w:p>
      <w:pPr>
        <w:pStyle w:val="ekiller"/>
      </w:pPr>
      <w:r>
        <w:drawing>
          <wp:inline xmlns:a="http://schemas.openxmlformats.org/drawingml/2006/main" xmlns:pic="http://schemas.openxmlformats.org/drawingml/2006/picture">
            <wp:extent cx="2700000" cy="5843077"/>
            <wp:docPr id="119" name="Picture 119"/>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pPr>
      <w:r>
        <w:rPr>
          <w:b/>
        </w:rPr>
        <w:t>Şekil 3.10. AURIS Android uygulaması dosya yükleme ve sonuç ekranı.</w:t>
      </w:r>
    </w:p>
    <w:p w14:paraId="67A2FCF6" w14:textId="77777777" w:rsidR="00811944" w:rsidRPr="00625A01" w:rsidRDefault="00811944" w:rsidP="00811944">
      <w:pPr>
        <w:pStyle w:val="Balk1"/>
        <w:sectPr w:rsidR="00811944" w:rsidRPr="00625A01" w:rsidSect="00D940EC">
          <w:footerReference w:type="default" r:id="rId31"/>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2"/>
      <w:commentRangeEnd w:id="32"/>
      <w:r>
        <w:t>4. BULGULAR</w:t>
      </w:r>
    </w:p>
    <w:p>
      <w:pPr>
        <w:pStyle w:val="Balk2"/>
      </w:pPr>
      <w:r>
        <w:t xml:space="preserve">4.1. Model Karşılaştırma Sonuçları</w:t>
      </w:r>
    </w:p>
    <w:p>
      <w:pPr>
        <w:pStyle w:val="PARAGRAFMETN"/>
      </w:pPr>
      <w:r>
        <w:t xml:space="preserve">Çizelge 4.1, 5.195 örnek ve 47 öznitelik üzerinde 5 katlı çapraz doğrulamayla elde edilen tüm 11 modelin performansını ROC-AUC'a göre sıralı sunmaktadır. LightGBM 0,9549 ROC-AUC ile birinci, Derin ÇKA 0,9537 ile ikinci, XGBoost 0,9463 ile üçüncü sıradadır. 1B-ESA 0,8442 ile en düşük AUC'u sergilemiştir.</w:t>
      </w:r>
    </w:p>
    <w:p>
      <w:pPr>
        <w:pStyle w:val="izelgeYazs"/>
      </w:pPr>
      <w:r>
        <w:t xml:space="preserve">Çizelge 4.1. 11 modelin 5 katlı çapraz doğrulama performans karşılaştırması (ROC-AUC'a göre sıralı).</w:t>
      </w:r>
    </w:p>
    <w:p>
      <w:pPr>
        <w:pStyle w:val="PARAGRAFMETN"/>
      </w:pPr>
      <w:r>
        <w:t xml:space="preserve">LightGBM (ML): Doğ.=0,8839, F1=0,8575, AUC=0,9549 | Derin ÇKA (DL): Doğ.=0,8849, F1=0,8596, AUC=0,9537 | XGBoost (ML): Doğ.=0,8735, F1=0,8402, AUC=0,9463 | Artık ÇKA (DL): Doğ.=0,8756, F1=0,8476, AUC=0,9453 | Gradyan Artırma (ML): Doğ.=0,8685, F1=0,8337, AUC=0,9406 | Rastgele Orman (ML): Doğ.=0,8604, F1=0,8183, AUC=0,9393 | Dikkat ÇKA (DL): Doğ.=0,8628, F1=0,8293, AUC=0,9356 | SVM-RBF (ML): Doğ.=0,8612, F1=0,8252, AUC=0,9347 | ÇKA Sinir Ağı (ML): Doğ.=0,8545, F1=0,8189, AUC=0,9258 | Lojistik Regresyon (ML): Doğ.=0,7779, F1=0,7390, AUC=0,8511 | 1B-ESA (DL): Doğ.=0,7665, F1=0,7159, AUC=0,8442</w:t>
      </w:r>
    </w:p>
    <w:p>
      <w:pPr>
        <w:pStyle w:val="PARAGRAFMETN"/>
      </w:pPr>
      <w:r>
        <w:t xml:space="preserve">Şekil 4.1'de tüm 11 modelin Doğruluk, F1 ve ROC-AUC metriklerini karşılaştıran çubuk grafik sunulmaktadır.</w:t>
      </w:r>
    </w:p>
    <w:p>
      <w:pPr>
        <w:pStyle w:val="ekiller"/>
      </w:pPr>
      <w:r>
        <w:drawing>
          <wp:inline xmlns:a="http://schemas.openxmlformats.org/drawingml/2006/main" xmlns:pic="http://schemas.openxmlformats.org/drawingml/2006/picture">
            <wp:extent cx="5400000" cy="2905816"/>
            <wp:docPr id="120" name="Picture 120"/>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400000" cy="2905816"/>
                    </a:xfrm>
                    <a:prstGeom prst="rect"/>
                  </pic:spPr>
                </pic:pic>
              </a:graphicData>
            </a:graphic>
          </wp:inline>
        </w:drawing>
      </w:r>
    </w:p>
    <w:p>
      <w:pPr>
        <w:pStyle w:val="ekilYazs"/>
      </w:pPr>
      <w:r>
        <w:rPr>
          <w:b/>
        </w:rPr>
        <w:t>Şekil 4.1. 11 modelin performans karşılaştırması — Doğruluk, F1, ROC-AUC (5 katlı CV, 47 öznitelik, 5.195 örnek).</w:t>
      </w:r>
    </w:p>
    <w:p>
      <w:pPr>
        <w:pStyle w:val="PARAGRAFMETN"/>
      </w:pPr>
      <w:r>
        <w:t xml:space="preserve">Şekil 4.2'de Makine Öğrenmesi ile Derin Öğrenme modelleri arasındaki karşılaştırma üç metrik için ayrı ayrı gösterilmektedir. LightGBM ve Derin ÇKA her üç metrikte de öne çıkmaktadır.</w:t>
      </w:r>
    </w:p>
    <w:p>
      <w:pPr>
        <w:pStyle w:val="ekiller"/>
      </w:pPr>
      <w:r>
        <w:drawing>
          <wp:inline xmlns:a="http://schemas.openxmlformats.org/drawingml/2006/main" xmlns:pic="http://schemas.openxmlformats.org/drawingml/2006/picture">
            <wp:extent cx="5400000" cy="1914850"/>
            <wp:docPr id="121" name="Picture 12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400000" cy="1914850"/>
                    </a:xfrm>
                    <a:prstGeom prst="rect"/>
                  </pic:spPr>
                </pic:pic>
              </a:graphicData>
            </a:graphic>
          </wp:inline>
        </w:drawing>
      </w:r>
    </w:p>
    <w:p>
      <w:pPr>
        <w:pStyle w:val="ekilYazs"/>
      </w:pPr>
      <w:r>
        <w:rPr>
          <w:b/>
        </w:rPr>
        <w:t>Şekil 4.2. MO ve DÖ modellerinin karşılaştırması — Doğruluk, ROC-AUC, F1 Skoru.</w:t>
      </w:r>
    </w:p>
    <w:p>
      <w:pPr>
        <w:pStyle w:val="PARAGRAFMETN"/>
      </w:pPr>
      <w:r>
        <w:t xml:space="preserve">Şekil 4.3'te tüm modellerin performans ısı haritası sunulmaktadır. Her sütunun en yüksek değeri kalın olarak gösterilmekte; LightGBM ROC-AUC'da, Derin ÇKA ise Doğruluk ve F1'de öne çıkmaktadır.</w:t>
      </w:r>
    </w:p>
    <w:p>
      <w:pPr>
        <w:pStyle w:val="ekiller"/>
      </w:pPr>
      <w:r>
        <w:drawing>
          <wp:inline xmlns:a="http://schemas.openxmlformats.org/drawingml/2006/main" xmlns:pic="http://schemas.openxmlformats.org/drawingml/2006/picture">
            <wp:extent cx="5400000" cy="3214908"/>
            <wp:docPr id="122" name="Picture 122"/>
            <wp:cNvGraphicFramePr>
              <a:graphicFrameLocks noChangeAspect="1"/>
            </wp:cNvGraphicFramePr>
            <a:graphic>
              <a:graphicData uri="http://schemas.openxmlformats.org/drawingml/2006/picture">
                <pic:pic>
                  <pic:nvPicPr>
                    <pic:cNvPr id="0" name="all_models_heatmap.png"/>
                    <pic:cNvPicPr/>
                  </pic:nvPicPr>
                  <pic:blipFill>
                    <a:blip r:embed="rId62"/>
                    <a:stretch>
                      <a:fillRect/>
                    </a:stretch>
                  </pic:blipFill>
                  <pic:spPr>
                    <a:xfrm>
                      <a:off x="0" y="0"/>
                      <a:ext cx="5400000" cy="3214908"/>
                    </a:xfrm>
                    <a:prstGeom prst="rect"/>
                  </pic:spPr>
                </pic:pic>
              </a:graphicData>
            </a:graphic>
          </wp:inline>
        </w:drawing>
      </w:r>
    </w:p>
    <w:p>
      <w:pPr>
        <w:pStyle w:val="ekilYazs"/>
      </w:pPr>
      <w:r>
        <w:rPr>
          <w:b/>
        </w:rPr>
        <w:t>Şekil 4.3. Tüm modeller performans ısı haritası (sütun bazında en iyi değer kalın).</w:t>
      </w:r>
    </w:p>
    <w:p>
      <w:pPr>
        <w:pStyle w:val="Balk2"/>
      </w:pPr>
      <w:r>
        <w:t xml:space="preserve">4.2. ROC Eğrileri Analizi</w:t>
      </w:r>
    </w:p>
    <w:p>
      <w:pPr>
        <w:pStyle w:val="PARAGRAFMETN"/>
      </w:pPr>
      <w:r>
        <w:t xml:space="preserve">Şekil 4.4'te 11 modelin gerçek tutulan kat tahminleriyle üretilen ROC eğrileri gösterilmektedir. LightGBM ve Derin ÇKA eğrileri 0,95 üzerinde AUC ile sağ üst köşeye yakın seyrederken 1B-ESA belirgin biçimde daha düşük eğri çizmektedir.</w:t>
      </w:r>
    </w:p>
    <w:p>
      <w:pPr>
        <w:pStyle w:val="ekiller"/>
      </w:pPr>
      <w:r>
        <w:drawing>
          <wp:inline xmlns:a="http://schemas.openxmlformats.org/drawingml/2006/main" xmlns:pic="http://schemas.openxmlformats.org/drawingml/2006/picture">
            <wp:extent cx="5040000" cy="4217549"/>
            <wp:docPr id="123" name="Picture 123"/>
            <wp:cNvGraphicFramePr>
              <a:graphicFrameLocks noChangeAspect="1"/>
            </wp:cNvGraphicFramePr>
            <a:graphic>
              <a:graphicData uri="http://schemas.openxmlformats.org/drawingml/2006/picture">
                <pic:pic>
                  <pic:nvPicPr>
                    <pic:cNvPr id="0" name="paper_roc_curves.png"/>
                    <pic:cNvPicPr/>
                  </pic:nvPicPr>
                  <pic:blipFill>
                    <a:blip r:embed="rId63"/>
                    <a:stretch>
                      <a:fillRect/>
                    </a:stretch>
                  </pic:blipFill>
                  <pic:spPr>
                    <a:xfrm>
                      <a:off x="0" y="0"/>
                      <a:ext cx="5040000" cy="4217549"/>
                    </a:xfrm>
                    <a:prstGeom prst="rect"/>
                  </pic:spPr>
                </pic:pic>
              </a:graphicData>
            </a:graphic>
          </wp:inline>
        </w:drawing>
      </w:r>
    </w:p>
    <w:p>
      <w:pPr>
        <w:pStyle w:val="ekilYazs"/>
      </w:pPr>
      <w:r>
        <w:rPr>
          <w:b/>
        </w:rPr>
        <w:t>Şekil 4.4. ROC eğrileri — gerçek tutulan kat tahminleri, 5 katlı CV. Kesikli çizgi: rastgele sınıflandırma (AUC=0,500).</w:t>
      </w:r>
    </w:p>
    <w:p>
      <w:pPr>
        <w:pStyle w:val="Balk2"/>
      </w:pPr>
      <w:r>
        <w:t xml:space="preserve">4.3. Çapraz Doğrulama Katlama Stabilitesi</w:t>
      </w:r>
    </w:p>
    <w:p>
      <w:pPr>
        <w:pStyle w:val="PARAGRAFMETN"/>
      </w:pPr>
      <w:r>
        <w:t xml:space="preserve">Şekil 4.5'te 5 katlı çapraz doğrulama AUC sonuçları tablosu verilmektedir. LightGBM std=±0,0023 ile en kararlı model konumundadır. Derin ÇKA std=0,0036 ile DL modelleri arasında en düşük varyansı sergiler. 1B-ESA std=0,0087 ile en yüksek kararsızlığı göstermektedir.</w:t>
      </w:r>
    </w:p>
    <w:p>
      <w:pPr>
        <w:pStyle w:val="ekiller"/>
      </w:pPr>
      <w:r>
        <w:drawing>
          <wp:inline xmlns:a="http://schemas.openxmlformats.org/drawingml/2006/main" xmlns:pic="http://schemas.openxmlformats.org/drawingml/2006/picture">
            <wp:extent cx="5400000" cy="3058272"/>
            <wp:docPr id="124" name="Picture 124"/>
            <wp:cNvGraphicFramePr>
              <a:graphicFrameLocks noChangeAspect="1"/>
            </wp:cNvGraphicFramePr>
            <a:graphic>
              <a:graphicData uri="http://schemas.openxmlformats.org/drawingml/2006/picture">
                <pic:pic>
                  <pic:nvPicPr>
                    <pic:cNvPr id="0" name="paper_fold_std_table.png"/>
                    <pic:cNvPicPr/>
                  </pic:nvPicPr>
                  <pic:blipFill>
                    <a:blip r:embed="rId64"/>
                    <a:stretch>
                      <a:fillRect/>
                    </a:stretch>
                  </pic:blipFill>
                  <pic:spPr>
                    <a:xfrm>
                      <a:off x="0" y="0"/>
                      <a:ext cx="5400000" cy="3058272"/>
                    </a:xfrm>
                    <a:prstGeom prst="rect"/>
                  </pic:spPr>
                </pic:pic>
              </a:graphicData>
            </a:graphic>
          </wp:inline>
        </w:drawing>
      </w:r>
    </w:p>
    <w:p>
      <w:pPr>
        <w:pStyle w:val="ekilYazs"/>
      </w:pPr>
      <w:r>
        <w:rPr>
          <w:b/>
        </w:rPr>
        <w:t>Şekil 4.5. Çapraz doğrulama AUC sonuçları (5 katlı) — Ort. ± Std, tüm 11 model.</w:t>
      </w:r>
    </w:p>
    <w:p>
      <w:pPr>
        <w:pStyle w:val="Balk2"/>
      </w:pPr>
      <w:r>
        <w:t xml:space="preserve">4.4. LightGBM Ayrıntılı Analizi</w:t>
      </w:r>
    </w:p>
    <w:p>
      <w:pPr>
        <w:pStyle w:val="Balk3"/>
      </w:pPr>
      <w:r>
        <w:t xml:space="preserve">4.4.1. Tahmin Olasılık Dağılımı</w:t>
      </w:r>
    </w:p>
    <w:p>
      <w:pPr>
        <w:pStyle w:val="PARAGRAFMETN"/>
      </w:pPr>
      <w:r>
        <w:t xml:space="preserve">Şekil 4.6'da LightGBM'in P(YZ) tahmin olasılık dağılımı gösterilmektedir. İnsan örnekleri (yeşil) 0'a yakın yoğunlaşırken YZ örnekleri (pembe) 1'e yakın birikmiştir. Youden-optimal eşik θ*=0,4316'nın iki dağılımı net biçimde ayırdığı görülmektedir.</w:t>
      </w:r>
    </w:p>
    <w:p>
      <w:pPr>
        <w:pStyle w:val="ekiller"/>
      </w:pPr>
      <w:r>
        <w:drawing>
          <wp:inline xmlns:a="http://schemas.openxmlformats.org/drawingml/2006/main" xmlns:pic="http://schemas.openxmlformats.org/drawingml/2006/picture">
            <wp:extent cx="4680000" cy="2962569"/>
            <wp:docPr id="125" name="Picture 125"/>
            <wp:cNvGraphicFramePr>
              <a:graphicFrameLocks noChangeAspect="1"/>
            </wp:cNvGraphicFramePr>
            <a:graphic>
              <a:graphicData uri="http://schemas.openxmlformats.org/drawingml/2006/picture">
                <pic:pic>
                  <pic:nvPicPr>
                    <pic:cNvPr id="0" name="paper_score_distribution.png"/>
                    <pic:cNvPicPr/>
                  </pic:nvPicPr>
                  <pic:blipFill>
                    <a:blip r:embed="rId65"/>
                    <a:stretch>
                      <a:fillRect/>
                    </a:stretch>
                  </pic:blipFill>
                  <pic:spPr>
                    <a:xfrm>
                      <a:off x="0" y="0"/>
                      <a:ext cx="4680000" cy="2962569"/>
                    </a:xfrm>
                    <a:prstGeom prst="rect"/>
                  </pic:spPr>
                </pic:pic>
              </a:graphicData>
            </a:graphic>
          </wp:inline>
        </w:drawing>
      </w:r>
    </w:p>
    <w:p>
      <w:pPr>
        <w:pStyle w:val="ekilYazs"/>
      </w:pPr>
      <w:r>
        <w:rPr>
          <w:b/>
        </w:rPr>
        <w:t>Şekil 4.6. LightGBM tahmin olasılık dağılımı. Kesikli çizgi: Youden-optimal eşik θ*=0,4316.</w:t>
      </w:r>
    </w:p>
    <w:p>
      <w:pPr>
        <w:pStyle w:val="Balk3"/>
      </w:pPr>
      <w:r>
        <w:t xml:space="preserve">4.4.2. Karışıklık Matrisi</w:t>
      </w:r>
    </w:p>
    <w:p>
      <w:pPr>
        <w:pStyle w:val="PARAGRAFMETN"/>
      </w:pPr>
      <w:r>
        <w:t xml:space="preserve">Şekil 4.7'de LightGBM'in θ*=0,4316 eşiğiyle elde ettiği karışıklık matrisi gösterilmektedir. Doğru Negatif (İnsan→İnsan): 2.721 (%87,4), Doğru Pozitif (YZ→YZ): 1.862 (%89,4), Yanlış Pozitif (İnsan→YZ): 392 (%12,6), Yanlış Negatif (YZ→İnsan): 220 (%10,6).</w:t>
      </w:r>
    </w:p>
    <w:p>
      <w:pPr>
        <w:pStyle w:val="ekiller"/>
      </w:pPr>
      <w:r>
        <w:drawing>
          <wp:inline xmlns:a="http://schemas.openxmlformats.org/drawingml/2006/main" xmlns:pic="http://schemas.openxmlformats.org/drawingml/2006/picture">
            <wp:extent cx="3600000" cy="3223131"/>
            <wp:docPr id="126" name="Picture 126"/>
            <wp:cNvGraphicFramePr>
              <a:graphicFrameLocks noChangeAspect="1"/>
            </wp:cNvGraphicFramePr>
            <a:graphic>
              <a:graphicData uri="http://schemas.openxmlformats.org/drawingml/2006/picture">
                <pic:pic>
                  <pic:nvPicPr>
                    <pic:cNvPr id="0" name="paper_confusion_matrix_lightgbm.png"/>
                    <pic:cNvPicPr/>
                  </pic:nvPicPr>
                  <pic:blipFill>
                    <a:blip r:embed="rId66"/>
                    <a:stretch>
                      <a:fillRect/>
                    </a:stretch>
                  </pic:blipFill>
                  <pic:spPr>
                    <a:xfrm>
                      <a:off x="0" y="0"/>
                      <a:ext cx="3600000" cy="3223131"/>
                    </a:xfrm>
                    <a:prstGeom prst="rect"/>
                  </pic:spPr>
                </pic:pic>
              </a:graphicData>
            </a:graphic>
          </wp:inline>
        </w:drawing>
      </w:r>
    </w:p>
    <w:p>
      <w:pPr>
        <w:pStyle w:val="ekilYazs"/>
      </w:pPr>
      <w:r>
        <w:rPr>
          <w:b/>
        </w:rPr>
        <w:t>Şekil 4.7. LightGBM karışıklık matrisi (θ*=0,4316). Örnek sayısı ve sınıf yüzdesi gösterilmiştir.</w:t>
      </w:r>
    </w:p>
    <w:p>
      <w:pPr>
        <w:pStyle w:val="Balk3"/>
      </w:pPr>
      <w:r>
        <w:t xml:space="preserve">4.4.3. Kalibrasyon Analizi</w:t>
      </w:r>
    </w:p>
    <w:p>
      <w:pPr>
        <w:pStyle w:val="PARAGRAFMETN"/>
      </w:pPr>
      <w:r>
        <w:t xml:space="preserve">Şekil 4.8'de LightGBM kalibrasyon eğrisi sunulmaktadır. Brier skoru 0,083 ile model iyi kalibre edilmiş bir olasılık tahmincisi olduğunu kanıtlamaktadır; eğri köşegene yakın seyretmektedir.</w:t>
      </w:r>
    </w:p>
    <w:p>
      <w:pPr>
        <w:pStyle w:val="ekiller"/>
      </w:pPr>
      <w:r>
        <w:drawing>
          <wp:inline xmlns:a="http://schemas.openxmlformats.org/drawingml/2006/main" xmlns:pic="http://schemas.openxmlformats.org/drawingml/2006/picture">
            <wp:extent cx="4320000" cy="3798843"/>
            <wp:docPr id="127" name="Picture 127"/>
            <wp:cNvGraphicFramePr>
              <a:graphicFrameLocks noChangeAspect="1"/>
            </wp:cNvGraphicFramePr>
            <a:graphic>
              <a:graphicData uri="http://schemas.openxmlformats.org/drawingml/2006/picture">
                <pic:pic>
                  <pic:nvPicPr>
                    <pic:cNvPr id="0" name="paper_calibration.png"/>
                    <pic:cNvPicPr/>
                  </pic:nvPicPr>
                  <pic:blipFill>
                    <a:blip r:embed="rId67"/>
                    <a:stretch>
                      <a:fillRect/>
                    </a:stretch>
                  </pic:blipFill>
                  <pic:spPr>
                    <a:xfrm>
                      <a:off x="0" y="0"/>
                      <a:ext cx="4320000" cy="3798843"/>
                    </a:xfrm>
                    <a:prstGeom prst="rect"/>
                  </pic:spPr>
                </pic:pic>
              </a:graphicData>
            </a:graphic>
          </wp:inline>
        </w:drawing>
      </w:r>
    </w:p>
    <w:p>
      <w:pPr>
        <w:pStyle w:val="ekilYazs"/>
      </w:pPr>
      <w:r>
        <w:rPr>
          <w:b/>
        </w:rPr>
        <w:t>Şekil 4.8. LightGBM kalibrasyon eğrisi. Brier skoru=0,0830, N=5.195 (5 katlı CV).</w:t>
      </w:r>
    </w:p>
    <w:p>
      <w:pPr>
        <w:pStyle w:val="Balk3"/>
      </w:pPr>
      <w:r>
        <w:t xml:space="preserve">4.4.4. Kesinlik-Duyarlılık Analizi</w:t>
      </w:r>
    </w:p>
    <w:p>
      <w:pPr>
        <w:pStyle w:val="PARAGRAFMETN"/>
      </w:pPr>
      <w:r>
        <w:t xml:space="preserve">Şekil 4.9'da LightGBM kesinlik-duyarlılık eğrisi (AP=0,9344) gösterilmektedir. Yüksek duyarlılık değerlerinde bile yüksek kesinlik korunmaktadır; bu model'in az sayıda YZ örneğini gözden kaçırdığını doğrulamaktadır.</w:t>
      </w:r>
    </w:p>
    <w:p>
      <w:pPr>
        <w:pStyle w:val="ekiller"/>
      </w:pPr>
      <w:r>
        <w:drawing>
          <wp:inline xmlns:a="http://schemas.openxmlformats.org/drawingml/2006/main" xmlns:pic="http://schemas.openxmlformats.org/drawingml/2006/picture">
            <wp:extent cx="4320000" cy="3798843"/>
            <wp:docPr id="128" name="Picture 128"/>
            <wp:cNvGraphicFramePr>
              <a:graphicFrameLocks noChangeAspect="1"/>
            </wp:cNvGraphicFramePr>
            <a:graphic>
              <a:graphicData uri="http://schemas.openxmlformats.org/drawingml/2006/picture">
                <pic:pic>
                  <pic:nvPicPr>
                    <pic:cNvPr id="0" name="paper_precision_recall.png"/>
                    <pic:cNvPicPr/>
                  </pic:nvPicPr>
                  <pic:blipFill>
                    <a:blip r:embed="rId68"/>
                    <a:stretch>
                      <a:fillRect/>
                    </a:stretch>
                  </pic:blipFill>
                  <pic:spPr>
                    <a:xfrm>
                      <a:off x="0" y="0"/>
                      <a:ext cx="4320000" cy="3798843"/>
                    </a:xfrm>
                    <a:prstGeom prst="rect"/>
                  </pic:spPr>
                </pic:pic>
              </a:graphicData>
            </a:graphic>
          </wp:inline>
        </w:drawing>
      </w:r>
    </w:p>
    <w:p>
      <w:pPr>
        <w:pStyle w:val="ekilYazs"/>
      </w:pPr>
      <w:r>
        <w:rPr>
          <w:b/>
        </w:rPr>
        <w:t>Şekil 4.9. LightGBM kesinlik-duyarlılık eğrisi (AP=0,9344). Kesikli: baz sınıflandırıcı (0,401).</w:t>
      </w:r>
    </w:p>
    <w:p>
      <w:pPr>
        <w:pStyle w:val="Balk2"/>
      </w:pPr>
      <w:r>
        <w:t xml:space="preserve">4.5. Öznitelik Önemi ve SHAP Analizi</w:t>
      </w:r>
    </w:p>
    <w:p>
      <w:pPr>
        <w:pStyle w:val="Balk3"/>
      </w:pPr>
      <w:r>
        <w:t xml:space="preserve">4.5.1. LightGBM Öznitelik Önemi</w:t>
      </w:r>
    </w:p>
    <w:p>
      <w:pPr>
        <w:pStyle w:val="PARAGRAFMETN"/>
      </w:pPr>
      <w:r>
        <w:t xml:space="preserve">Şekil 4.10'da LightGBM normalleştirilmiş kazanım öznitelik önemi gösterilmektedir. İlk 10: spectral_flatness_std (0,0619), spectral_contrast_mean (0,0467), rms_energy (0,0456), onset_strength_std (0,0388), spectral_flatness_mean (0,0370), rms_dynamic_range (0,0346), onset_strength_mean (0,0332), rms_std (0,0298), beat_count (0,0298), mfcc_delta_var (0,0289). Spektral kategori ilk 5'te 3 öznitelikle öne çıkmaktadır.</w:t>
      </w:r>
    </w:p>
    <w:p>
      <w:pPr>
        <w:pStyle w:val="ekiller"/>
      </w:pPr>
      <w:r>
        <w:drawing>
          <wp:inline xmlns:a="http://schemas.openxmlformats.org/drawingml/2006/main" xmlns:pic="http://schemas.openxmlformats.org/drawingml/2006/picture">
            <wp:extent cx="4860000" cy="3957968"/>
            <wp:docPr id="129" name="Picture 129"/>
            <wp:cNvGraphicFramePr>
              <a:graphicFrameLocks noChangeAspect="1"/>
            </wp:cNvGraphicFramePr>
            <a:graphic>
              <a:graphicData uri="http://schemas.openxmlformats.org/drawingml/2006/picture">
                <pic:pic>
                  <pic:nvPicPr>
                    <pic:cNvPr id="0" name="paper_feature_importance.png"/>
                    <pic:cNvPicPr/>
                  </pic:nvPicPr>
                  <pic:blipFill>
                    <a:blip r:embed="rId69"/>
                    <a:stretch>
                      <a:fillRect/>
                    </a:stretch>
                  </pic:blipFill>
                  <pic:spPr>
                    <a:xfrm>
                      <a:off x="0" y="0"/>
                      <a:ext cx="4860000" cy="3957968"/>
                    </a:xfrm>
                    <a:prstGeom prst="rect"/>
                  </pic:spPr>
                </pic:pic>
              </a:graphicData>
            </a:graphic>
          </wp:inline>
        </w:drawing>
      </w:r>
    </w:p>
    <w:p>
      <w:pPr>
        <w:pStyle w:val="ekilYazs"/>
      </w:pPr>
      <w:r>
        <w:rPr>
          <w:b/>
        </w:rPr>
        <w:t>Şekil 4.10. LightGBM normalleştirilmiş kazanım öznitelik önemi — ilk yirmi öznitelik.</w:t>
      </w:r>
    </w:p>
    <w:p>
      <w:pPr>
        <w:pStyle w:val="Balk3"/>
      </w:pPr>
      <w:r>
        <w:t xml:space="preserve">4.5.2. SHAP Özet Analizi</w:t>
      </w:r>
    </w:p>
    <w:p>
      <w:pPr>
        <w:pStyle w:val="PARAGRAFMETN"/>
      </w:pPr>
      <w:r>
        <w:t xml:space="preserve">Şekil 4.11'de SHAP beeswarm grafiği sunulmaktadır. Her nokta bir örneği, yatay konum modelin çıktısı üzerindeki etkiyi, renk ise öznitelik değerinin büyüklüğünü temsil etmektedir. spectral_flatness_std yüksek değerlerinin (kırmızı) pozitif SHAP etkisi (→YZ) sergilediği görülmektedir.</w:t>
      </w:r>
    </w:p>
    <w:p>
      <w:pPr>
        <w:pStyle w:val="ekiller"/>
      </w:pPr>
      <w:r>
        <w:drawing>
          <wp:inline xmlns:a="http://schemas.openxmlformats.org/drawingml/2006/main" xmlns:pic="http://schemas.openxmlformats.org/drawingml/2006/picture">
            <wp:extent cx="4320000" cy="4588285"/>
            <wp:docPr id="130" name="Picture 130"/>
            <wp:cNvGraphicFramePr>
              <a:graphicFrameLocks noChangeAspect="1"/>
            </wp:cNvGraphicFramePr>
            <a:graphic>
              <a:graphicData uri="http://schemas.openxmlformats.org/drawingml/2006/picture">
                <pic:pic>
                  <pic:nvPicPr>
                    <pic:cNvPr id="0" name="shap_summary.png"/>
                    <pic:cNvPicPr/>
                  </pic:nvPicPr>
                  <pic:blipFill>
                    <a:blip r:embed="rId70"/>
                    <a:stretch>
                      <a:fillRect/>
                    </a:stretch>
                  </pic:blipFill>
                  <pic:spPr>
                    <a:xfrm>
                      <a:off x="0" y="0"/>
                      <a:ext cx="4320000" cy="4588285"/>
                    </a:xfrm>
                    <a:prstGeom prst="rect"/>
                  </pic:spPr>
                </pic:pic>
              </a:graphicData>
            </a:graphic>
          </wp:inline>
        </w:drawing>
      </w:r>
    </w:p>
    <w:p>
      <w:pPr>
        <w:pStyle w:val="ekilYazs"/>
      </w:pPr>
      <w:r>
        <w:rPr>
          <w:b/>
        </w:rPr>
        <w:t>Şekil 4.11. SHAP özet grafiği — LightGBM (2.000 örneklik CV diliminde). Kırmızı: yüksek değer, Mavi: düşük.</w:t>
      </w:r>
    </w:p>
    <w:p w14:paraId="5EF14C7E" w14:textId="77777777" w:rsidR="00811944" w:rsidRDefault="00811944" w:rsidP="00811944">
      <w:pPr>
        <w:pStyle w:val="Balk1"/>
        <w:sectPr w:rsidR="00811944" w:rsidSect="00D940EC">
          <w:footerReference w:type="default" r:id="rId32"/>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4"/>
      <w:commentRangeEnd w:id="34"/>
      <w:r>
        <w:t>5. TARTIŞMA</w:t>
      </w:r>
    </w:p>
    <w:p>
      <w:pPr>
        <w:pStyle w:val="Balk2"/>
      </w:pPr>
      <w:r>
        <w:t xml:space="preserve">5.1. LightGBM'in Üstünlüğü</w:t>
      </w:r>
    </w:p>
    <w:p>
      <w:pPr>
        <w:pStyle w:val="PARAGRAFMETN"/>
      </w:pPr>
      <w:r>
        <w:t xml:space="preserve">LightGBM'in 47 boyutlu öznitelik uzayında en yüksek ROC-AUC'u (0,9549) elde etmesi birkaç yapısal faktörle açıklanabilir. Yaprak-düzeyinde büyüme stratejisi öznitelikler arası karmaşık etkileşimleri daha etkin modellemektedir. Histogram tabanlı bölme hem hesaplama verimliliğini artırmakta (2,95 sn eğitim) hem de düzenlilik etkisi yaratmaktadır. 5.195 örneklik orta ölçekli veri kümesinde LightGBM,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anlaşılmaktadır. 1B-ESA'nın zayıf performansı (AUC=0,8442) ise evrişimsel mimarinin uygunsuz indüktif önyargısından kaynaklanmaktadır: 47 boyutlu düz vektör üzerinde temporal evrişim uygulamak yerel korelasyon varsayımını geçersiz kılmaktadır.</w:t>
      </w:r>
    </w:p>
    <w:p>
      <w:pPr>
        <w:pStyle w:val="Balk2"/>
      </w:pPr>
      <w:r>
        <w:t xml:space="preserve">5.3. Spektral Düzlük: Yorumlanabilir Ayrımcı</w:t>
      </w:r>
    </w:p>
    <w:p>
      <w:pPr>
        <w:pStyle w:val="PARAGRAFMETN"/>
      </w:pPr>
      <w:r>
        <w:t xml:space="preserve">spectral_flatness_std'nin en yüksek öznitelik önem skoruna (0,0619) ulaşması güçlü bir yorumsal çerçeve sunmaktadır. YZ müzik üretim sistemleri perceptual kalite metriklerini optimize ederek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AURIS'in çok üreticili eğitim stratejisi bu soruna doğrudan yanıt vermektedir [3].</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 türler arası homojenliği ve temiz etiketi bu başarıyı açıklamaktadır.</w:t>
      </w:r>
    </w:p>
    <w:p>
      <w:pPr>
        <w:pStyle w:val="Balk2"/>
      </w:pPr>
      <w:r>
        <w:t xml:space="preserve">5.6. Sınırlamalar</w:t>
      </w:r>
    </w:p>
    <w:p>
      <w:pPr>
        <w:pStyle w:val="PARAGRAFMETN"/>
      </w:pPr>
      <w:r>
        <w:t xml:space="preserve">(1) Veri kümesi büyüklüğü — 5.195 örnek ticari sistemlerle karşılaştırıldığında küçük kalmaktadır. (2) Adversarial dayanıklılık — MP3 sıkıştırma ve perde kaydırma gibi işlemlerin etkisi değerlendirilmemiştir. (3) Tür önyargısı — bazı türlerin aşırı temsili, tür-tabakalı değerlendirme yapılmaması nedeniyle belirsiz kalmaktadır. (4) wav2vec2 5 katlı CV — doğrudan karşılaştırma için formal değerlendirme tamamlanmamıştır.</w:t>
      </w:r>
    </w:p>
    <w:p>
      <w:pPr>
        <w:pStyle w:val="Balk2"/>
      </w:pPr>
      <w:r>
        <w:t xml:space="preserve">5.7. Literatürle Karşılaştırma</w:t>
      </w:r>
    </w:p>
    <w:p>
      <w:pPr>
        <w:pStyle w:val="PARAGRAFMETN"/>
      </w:pPr>
      <w:r>
        <w:t xml:space="preserve">AURIS'in %88,4 doğruluğu ticari sistemlerin gerisinde kalmaktadır; ancak IRCAM Amplify ve Believe AI Radar şeffaf metodoloji sunmamaktadır. AURIS ise açık veri kümesi, şeffaf çapraz doğrulama, ücretsiz erişim ve SHAP açıklanabilirliğiyle akademik güvenilirlik açısından benzersiz bir konumdadır.</w:t>
      </w:r>
    </w:p>
    <w:p w14:paraId="68BD4F11"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AURIS sistemi 0,9549 ROC-AUC (±0,0023) ve Brier skoru 0,083 ile güçlü ve kararlı performans sergilemiştir. spectral_flatness_std (0,0619) en güçlü ayrımcı özniteliktir. Youden J eşik optimizasyonu (θ*=0,4316) dengeli hata profili sağlamaktadır. SHAP entegrasyonu kapalı kaynak rakiplerden farklılaştıran şeffaf karar mekanizması sunmaktadır. Tam yığın uygulama (web, Android, API) sistemi üretim ortamına taşımıştır.</w:t>
      </w:r>
    </w:p>
    <w:p>
      <w:pPr>
        <w:pStyle w:val="Balk2"/>
      </w:pPr>
      <w:r>
        <w:t xml:space="preserve">6.2. Özgün Katkılar</w:t>
      </w:r>
    </w:p>
    <w:p>
      <w:pPr>
        <w:pStyle w:val="PARAGRAFMETN"/>
      </w:pPr>
      <w:r>
        <w:t xml:space="preserve">(a) 5 kategoride 47 akustik öznitelikten oluşan ve müziğe özgü tasarlanmış kapsamlı öznitelik vektörü; (b) 12+ YZ üretici sistemi kapsayan çok üreticili eğitim veri kümesi; (c) 7 MO + 4 DÖ modelini aynı şeffaf protokolle karşılaştıran sistematik çalışma; (d) Youden J eşik optimizasyonunun müziğe özgü tespit bağlamına uyarlanması; (e) SHAP ile donatılmış ücretsiz ve açık kaynaklı üretim sistemi.</w:t>
      </w:r>
    </w:p>
    <w:p>
      <w:pPr>
        <w:pStyle w:val="Balk2"/>
      </w:pPr>
      <w:r>
        <w:t xml:space="preserve">6.3. Gelecek Çalışma Önerileri</w:t>
      </w:r>
    </w:p>
    <w:p>
      <w:pPr>
        <w:pStyle w:val="PARAGRAFMETN"/>
      </w:pPr>
      <w:r>
        <w:t xml:space="preserve">Kısa vadeli (0-6 ay): Veri kümesini 10.000+ örneğe genişletmek; yeni üreticileri (Suno v6, Stability AI) dahil etmek; görülmemiş üreticilerden bağımsız test setiyle çapraz-üretici genellemeyi resmi değerlendirmek; adversarial dayanıklılığı test etmek; wav2vec2 modelini 5 katlı CV protokolüyle formal değerlendirmek.</w:t>
      </w:r>
    </w:p>
    <w:p>
      <w:pPr>
        <w:pStyle w:val="PARAGRAFMETN"/>
      </w:pPr>
      <w:r>
        <w:t xml:space="preserve">Uzun vadeli (6+ ay): iOS uygulaması; tür-tabakalı değerlendirme; çok kipli analiz (ses + sözler + meta veri); gerçek zamanlı akış için çevrimiçi öznitelik çıkarma hattı; federe öğrenme ile sürekli model güncelleme ve yeni üreticilere adaptasyon.</w:t>
      </w:r>
    </w:p>
    <w:p w14:paraId="680E8223" w14:textId="77777777" w:rsidR="00811944" w:rsidRPr="00126CD7" w:rsidRDefault="00811944" w:rsidP="00811944">
      <w:pPr>
        <w:pStyle w:val="Balk1"/>
      </w:pPr>
      <w:commentRangeStart w:id="35"/>
      <w:commentRangeEnd w:id="35"/>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6"/>
      <w:commentRangeEnd w:id="36"/>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diğerleri. (2025). AI-Generated Music Detection: A Survey of Methods and Datasets. arXiv preprint. https://doi.org/10.48550/arXiv.2501.10111</w:t>
      </w:r>
    </w:p>
    <w:p>
      <w:pPr>
        <w:pStyle w:val="Normal"/>
      </w:pPr>
      <w:r>
        <w:t xml:space="preserve">[4]	Chen, T. ve Guestrin, C. (2016). XGBoost: A Scalable Tree Boosting System. Proc. 22nd ACM SIGKDD, s. 785-794.</w:t>
      </w:r>
    </w:p>
    <w:p>
      <w:pPr>
        <w:pStyle w:val="Normal"/>
      </w:pPr>
      <w:r>
        <w:t xml:space="preserve">[5]	Copet, J., Kreuk, F., Gat, I., Remez, T., Kant, D., Synnaeve, G., Adi, Y. ve Défossez, A. (2023). Simple and Controllable Music Generation. Advances in NeurIPS, 36, 47704-47720.</w:t>
      </w:r>
    </w:p>
    <w:p>
      <w:pPr>
        <w:pStyle w:val="Normal"/>
      </w:pPr>
      <w:r>
        <w:t xml:space="preserve">[6]	Dhariwal, P., Jun, H., Payne, C., Kim, J. W., Radford, A. ve Sutskever, I. (2020). Jukebox: A Generative Model for Music. arXiv preprint arXiv:2005.00341.</w:t>
      </w:r>
    </w:p>
    <w:p>
      <w:pPr>
        <w:pStyle w:val="Normal"/>
      </w:pPr>
      <w:r>
        <w:t xml:space="preserve">[7]	Elizalde, B., Deshmukh, S., Al Ismail, M. ve Wang, H. (2023). CLAP: Learning Audio Concepts from Natural Language Supervision. Proc. ICASSP 2023, s. 1-5. IEEE.</w:t>
      </w:r>
    </w:p>
    <w:p>
      <w:pPr>
        <w:pStyle w:val="Normal"/>
      </w:pPr>
      <w:r>
        <w:t xml:space="preserve">[8]	Frank, J. ve Schönherr, L. (2021). WaveFake: A Data Set to Facilitate Audio Deepfake Detection. NeurIPS 2021 Datasets and Benchmarks Track.</w:t>
      </w:r>
    </w:p>
    <w:p>
      <w:pPr>
        <w:pStyle w:val="Normal"/>
      </w:pPr>
      <w:r>
        <w:t xml:space="preserve">[9]	Gan, R., Huang, T., Shao, J. ve Wang, F. (2024). Music Genre Classification Based on VMD-IWOA-XGBoost. Mathematics, 12(10), 1549. https://doi.org/10.3390/math12101549</w:t>
      </w:r>
    </w:p>
    <w:p>
      <w:pPr>
        <w:pStyle w:val="Normal"/>
      </w:pPr>
      <w:r>
        <w:t xml:space="preserve">[10]	Gourisaria, M. K., Agrawal, R. ve Sahni, M. (2024). Comparative Analysis of Audio Classification with MFCC and STFT Features Using Machine Learning Techniques. Discover Internet of Things, 4.</w:t>
      </w:r>
    </w:p>
    <w:p>
      <w:pPr>
        <w:pStyle w:val="Normal"/>
      </w:pPr>
      <w:r>
        <w:t xml:space="preserve">[11]	Ke, G., Meng, Q., Finley, T., Wang, T., Chen, W., Ma, W., Ye, Q. ve Liu, T. (2017). LightGBM: A Highly Efficient Gradient Boosting Decision Tree. Advances in NeurIPS, 30.</w:t>
      </w:r>
    </w:p>
    <w:p>
      <w:pPr>
        <w:pStyle w:val="Normal"/>
      </w:pPr>
      <w:r>
        <w:t xml:space="preserve">[12]	Kosta, K., Meseguer Brocal, G., Afchar, D. ve Hennequin, R. (2025). Segment Transformer: AI-Generated Music Detection via Music Structural Analysis. arXiv:2509.08283.</w:t>
      </w:r>
    </w:p>
    <w:p>
      <w:pPr>
        <w:pStyle w:val="Normal"/>
      </w:pPr>
      <w:r>
        <w:t xml:space="preserve">[13]	Kostrzewa, D., Mazur, W. ve Brzeski, R. (2022). Wide Ensembles of Neural Networks in Music Genre Classification. Proc. MISSI 2022, s. 91-102. Springer.</w:t>
      </w:r>
    </w:p>
    <w:p>
      <w:pPr>
        <w:pStyle w:val="Normal"/>
      </w:pPr>
      <w:r>
        <w:t xml:space="preserve">[14]	Liu, H., Chen, Z., Yuan, Y., Mei, X., Liu, X., Mandic, D., Wang, W. ve Plumbley, M. D. (2023). AudioLDM: Text-to-Audio Generation with Latent Diffusion Models. Proc. ICML 2023.</w:t>
      </w:r>
    </w:p>
    <w:p>
      <w:pPr>
        <w:pStyle w:val="Normal"/>
      </w:pPr>
      <w:r>
        <w:t xml:space="preserve">[15]	Liu, Y. ve diğerleri. (2024). From Audio Deepfake Detection to AI-Generated Music Detection: A Pathway and Overview. arXiv:2412.00571.</w:t>
      </w:r>
    </w:p>
    <w:p>
      <w:pPr>
        <w:pStyle w:val="Normal"/>
      </w:pPr>
      <w:r>
        <w:t xml:space="preserve">[16]	Liu, Y., Yin, Y., Zhu, Q. ve Cui, W. (2022). Musical Instrument Recognition by XGBoost Combining Feature Fusion. arXiv:2206.00901.</w:t>
      </w:r>
    </w:p>
    <w:p>
      <w:pPr>
        <w:pStyle w:val="Normal"/>
      </w:pPr>
      <w:r>
        <w:t xml:space="preserve">[17]	Lundberg, S. M. ve Lee, S. I. (2017). A Unified Approach to Interpreting Model Predictions. Advances in NeurIPS, 30.</w:t>
      </w:r>
    </w:p>
    <w:p>
      <w:pPr>
        <w:pStyle w:val="Normal"/>
      </w:pPr>
      <w:r>
        <w:t xml:space="preserve">[18]	Martín-Doñas, J. M. ve Álvarez, A. (2022). The Vicomtech Audio Deepfake Detection System Based on Wav2vec2 for the 2022 ADD Challenge. Proc. ICASSP 2022, s. 9266-9270. IEEE.</w:t>
      </w:r>
    </w:p>
    <w:p>
      <w:pPr>
        <w:pStyle w:val="Normal"/>
      </w:pPr>
      <w:r>
        <w:t xml:space="preserve">[19]	McFee, B., Raffel, C., Liang, D., Ellis, D. P. W., McVicar, M., Battenberg, E. ve Nieto, O. (2015). librosa: Audio and Music Signal Analysis in Python. Proc. 14th Python in Science Conf., s. 18-25.</w:t>
      </w:r>
    </w:p>
    <w:p>
      <w:pPr>
        <w:pStyle w:val="Normal"/>
      </w:pPr>
      <w:r>
        <w:t xml:space="preserve">[20]	Paszke, A. ve diğerleri. (2019). PyTorch: An Imperative Style, High-Performance Deep Learning Library. Advances in NeurIPS, 32.</w:t>
      </w:r>
    </w:p>
    <w:p>
      <w:pPr>
        <w:pStyle w:val="Normal"/>
      </w:pPr>
      <w:r>
        <w:t xml:space="preserve">[21]	Pedregosa, F. ve diğerleri.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Proc. ICASSP 2023. IEEE.</w:t>
      </w:r>
    </w:p>
    <w:p>
      <w:pPr>
        <w:pStyle w:val="Normal"/>
      </w:pPr>
      <w:r>
        <w:t xml:space="preserve">[23]	Yi, J., Fu, R., Tao, J., Nie, S., Ma, H., Wang, C. ve diğerleri. (2022). ADD 2022: The First Audio Deep Synthesis Detection Challenge. Proc. ICASSP 2022, s. 9216-9220. IEEE.</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7"/>
      <w:commentRangeEnd w:id="37"/>
      <w:r w:rsidRPr="009C5FF6">
        <w:rPr>
          <w:rStyle w:val="AklamaBavurusu"/>
          <w:sz w:val="28"/>
          <w:szCs w:val="28"/>
        </w:rPr>
        <w:commentReference w:id="37"/>
      </w:r>
    </w:p>
    <w:p>
      <w:pPr>
        <w:pStyle w:val="Balk2"/>
      </w:pPr>
      <w:r>
        <w:t xml:space="preserve">Ek 1. AURIS 47 Öznitelik Tam Listesi</w:t>
      </w:r>
    </w:p>
    <w:p>
      <w:pPr>
        <w:pStyle w:val="PARAGRAFMETN"/>
      </w:pPr>
      <w:r>
        <w:t xml:space="preserve">Spektral (16): 1-spectral_centroid_mean | 2-spectral_centroid_std | 3-spectral_bandwidth_mean | 4-spectral_bandwidth_std | 5-spectral_flatness_mean | 6-spectral_flatness_std [EN GÜÇLÜ] | 7-spectral_rolloff_mean | 8-spectral_rolloff_std | 9-spectral_contrast_mean | 10-spectral_contrast_std | 11-mfcc_variance | 12-mfcc_delta_var | 13-mfcc_delta2_var | 14-mel_flatness | 15-spectral_regularity | 16-harmonic_structure</w:t>
      </w:r>
    </w:p>
    <w:p>
      <w:pPr>
        <w:pStyle w:val="PARAGRAFMETN"/>
      </w:pPr>
      <w:r>
        <w:t xml:space="preserve">Zamansal/Ritmik (10): 17-tempo_bpm | 18-tempo_stability | 19-tempo_cv | 20-beat_count | 21-onset_strength_mean | 22-onset_strength_std | 23-rms_energy | 24-rms_std | 25-rms_dynamic_range | 26-zero_crossing_rate</w:t>
      </w:r>
    </w:p>
    <w:p>
      <w:pPr>
        <w:pStyle w:val="PARAGRAFMETN"/>
      </w:pPr>
      <w:r>
        <w:t xml:space="preserve">Onset/Beat (9): 27-zero_crossing_std | 28-temporal_patterns | 29-chroma_entropy | 30-chroma_std | 31-chroma_transition_rate | 32-tonnetz_std | 33-harmonic_ratio | 34-vocal_energy_ratio | 35-vocal_harmonic_ratio</w:t>
      </w:r>
    </w:p>
    <w:p>
      <w:pPr>
        <w:pStyle w:val="PARAGRAFMETN"/>
      </w:pPr>
      <w:r>
        <w:t xml:space="preserve">Vokal/İfadesel (12): 36-vocal_confidence | 37-has_vocals | 38-pitch_mean_hz | 39-pitch_std_cents | 40-pitch_stability_score | 41-vibrato_rate_hz | 42-vibrato_extent_cents | 43-vibrato_regularity_score | 44-formant_consistency_score | 45-breath_pattern_score | 46-vocal_texture_score | 47-vocal_ai_score</w:t>
      </w:r>
    </w:p>
    <w:p>
      <w:pPr>
        <w:pStyle w:val="Balk2"/>
      </w:pPr>
      <w:r>
        <w:t xml:space="preserve">Ek 2. Sistem Gereksinimleri</w:t>
      </w:r>
    </w:p>
    <w:p>
      <w:pPr>
        <w:pStyle w:val="PARAGRAFMETN"/>
      </w:pPr>
      <w:r>
        <w:t xml:space="preserve">Donanım: RAM 8 GB+, Disk ~500 MB, CPU 4 çekirdek+ (GPU opsiyonel). Yazılım: Python 3.11+, Node.js 20.18.1+, Android Studio (API 26+). Backend: uvicorn app.main:app --host 0.0.0.0 --port 7860. Web: cd platform &amp;&amp; npm install &amp;&amp; npm run dev (port 3000).</w:t>
      </w:r>
    </w:p>
    <w:p>
      <w:pPr>
        <w:pStyle w:val="Balk2"/>
      </w:pPr>
      <w:r>
        <w:t xml:space="preserve">Ek 3. Erişim Bilgileri</w:t>
      </w:r>
    </w:p>
    <w:p>
      <w:pPr>
        <w:pStyle w:val="PARAGRAFMETN"/>
      </w:pPr>
      <w:r>
        <w:t xml:space="preserve">Web platformu: https://hasanarthuraltunas.xyz | HuggingFace Spaces: https://huggingface.co/spaces/Rtur2003/AURIS | Açık kaynak kod deposu: https://github.com/Rtur2003/CrownCode</w:t>
      </w:r>
    </w:p>
    <w:p w14:paraId="281BD228" w14:textId="77777777" w:rsidR="00811944" w:rsidRPr="00126CD7" w:rsidRDefault="00811944" w:rsidP="00811944">
      <w:pPr>
        <w:pStyle w:val="Balk1"/>
        <w:numPr>
          <w:ilvl w:val="0"/>
          <w:numId w:val="0"/>
        </w:numPr>
        <w:ind w:left="-72"/>
      </w:pPr>
      <w:commentRangeStart w:id="45"/>
      <w:r w:rsidRPr="00126CD7">
        <w:lastRenderedPageBreak/>
        <w:t>ÖZGEÇMİŞ</w:t>
      </w:r>
      <w:commentRangeEnd w:id="45"/>
      <w:r w:rsidRPr="00126CD7">
        <w:rPr>
          <w:rStyle w:val="AklamaBavurusu"/>
          <w:sz w:val="28"/>
          <w:szCs w:val="28"/>
        </w:rPr>
        <w:commentReference w:id="4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image" Target="media/image38.png"/><Relationship Id="rId64" Type="http://schemas.openxmlformats.org/officeDocument/2006/relationships/image" Target="media/image39.png"/><Relationship Id="rId65" Type="http://schemas.openxmlformats.org/officeDocument/2006/relationships/image" Target="media/image40.png"/><Relationship Id="rId66" Type="http://schemas.openxmlformats.org/officeDocument/2006/relationships/image" Target="media/image41.png"/><Relationship Id="rId67" Type="http://schemas.openxmlformats.org/officeDocument/2006/relationships/image" Target="media/image42.png"/><Relationship Id="rId68" Type="http://schemas.openxmlformats.org/officeDocument/2006/relationships/image" Target="media/image43.png"/><Relationship Id="rId69" Type="http://schemas.openxmlformats.org/officeDocument/2006/relationships/image" Target="media/image44.png"/><Relationship Id="rId70" Type="http://schemas.openxmlformats.org/officeDocument/2006/relationships/image" Target="media/image4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