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Look w:val="01E0" w:firstRow="1" w:lastRow="1" w:firstColumn="1" w:lastColumn="1" w:noHBand="0" w:noVBand="0"/>
      </w:tblPr>
      <w:tblGrid>
        <w:gridCol w:w="1803"/>
        <w:gridCol w:w="7269"/>
      </w:tblGrid>
      <w:tr w:rsidR="007859A5" w:rsidRPr="00680767" w:rsidTr="00FE0808">
        <w:tc>
          <w:tcPr>
            <w:tcW w:w="1817" w:type="dxa"/>
            <w:vAlign w:val="center"/>
          </w:tcPr>
          <w:p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5"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rsidR="00493A29" w:rsidRPr="00680767" w:rsidRDefault="00493A29" w:rsidP="00493A29">
            <w:pPr>
              <w:rPr>
                <w:rFonts w:ascii="Arial" w:hAnsi="Arial" w:cs="Arial"/>
                <w:b/>
                <w:i/>
                <w:lang w:val="tr-TR"/>
              </w:rPr>
            </w:pPr>
          </w:p>
          <w:p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rsidR="003D02B7" w:rsidRPr="00680767" w:rsidRDefault="003D02B7" w:rsidP="00493A29">
            <w:pPr>
              <w:jc w:val="center"/>
              <w:rPr>
                <w:lang w:val="tr-TR"/>
              </w:rPr>
            </w:pPr>
          </w:p>
        </w:tc>
      </w:tr>
    </w:tbl>
    <w:p w:rsidR="003D02B7" w:rsidRDefault="003D02B7" w:rsidP="003D02B7">
      <w:pPr>
        <w:rPr>
          <w:lang w:val="tr-TR"/>
        </w:rPr>
      </w:pPr>
    </w:p>
    <w:p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
        <w:gridCol w:w="8402"/>
      </w:tblGrid>
      <w:tr w:rsidR="00FE0808" w:rsidRPr="00680767"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rsidR="00FE0808" w:rsidRPr="00680767" w:rsidRDefault="00FE0808" w:rsidP="00680767">
            <w:pPr>
              <w:pStyle w:val="ListeParagraf"/>
              <w:ind w:left="34"/>
              <w:jc w:val="both"/>
              <w:rPr>
                <w:sz w:val="20"/>
                <w:szCs w:val="20"/>
                <w:lang w:val="tr-TR"/>
              </w:rPr>
            </w:pPr>
          </w:p>
        </w:tc>
      </w:tr>
      <w:tr w:rsidR="00FE0808" w:rsidRPr="00680767"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FE0808" w:rsidRPr="00680767" w:rsidRDefault="00FE0808" w:rsidP="00680767">
            <w:pPr>
              <w:ind w:left="34"/>
              <w:jc w:val="both"/>
              <w:rPr>
                <w:sz w:val="20"/>
                <w:szCs w:val="20"/>
                <w:lang w:val="tr-TR"/>
              </w:rPr>
            </w:pPr>
            <w:r w:rsidRPr="00680767">
              <w:rPr>
                <w:sz w:val="20"/>
                <w:szCs w:val="20"/>
                <w:lang w:val="tr-TR"/>
              </w:rPr>
              <w:t>Başka bir dergiye gönderilmemiştir.</w:t>
            </w:r>
          </w:p>
          <w:p w:rsidR="00FE0808" w:rsidRPr="00680767" w:rsidRDefault="00FE0808" w:rsidP="00680767">
            <w:pPr>
              <w:ind w:left="34"/>
              <w:jc w:val="both"/>
              <w:rPr>
                <w:sz w:val="20"/>
                <w:szCs w:val="20"/>
                <w:lang w:val="tr-TR"/>
              </w:rPr>
            </w:pPr>
          </w:p>
        </w:tc>
      </w:tr>
      <w:tr w:rsidR="00914C1C" w:rsidRPr="00FD434A"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rsidR="006716CF" w:rsidRPr="00680767" w:rsidRDefault="006716CF" w:rsidP="00680767">
            <w:pPr>
              <w:ind w:left="34"/>
              <w:jc w:val="both"/>
              <w:rPr>
                <w:sz w:val="20"/>
                <w:szCs w:val="20"/>
                <w:lang w:val="tr-TR"/>
              </w:rPr>
            </w:pPr>
          </w:p>
        </w:tc>
      </w:tr>
      <w:tr w:rsidR="00914C1C"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rsidR="006716CF" w:rsidRPr="00680767" w:rsidRDefault="006716CF" w:rsidP="00680767">
            <w:pPr>
              <w:ind w:left="34"/>
              <w:jc w:val="both"/>
              <w:rPr>
                <w:sz w:val="20"/>
                <w:szCs w:val="20"/>
                <w:shd w:val="clear" w:color="auto" w:fill="FFFFFF"/>
                <w:lang w:val="tr-TR"/>
              </w:rPr>
            </w:pPr>
          </w:p>
        </w:tc>
      </w:tr>
      <w:tr w:rsidR="00914C1C"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rsidR="006716CF" w:rsidRPr="00680767" w:rsidRDefault="006716CF" w:rsidP="00680767">
            <w:pPr>
              <w:ind w:left="34"/>
              <w:jc w:val="both"/>
              <w:rPr>
                <w:sz w:val="20"/>
                <w:szCs w:val="20"/>
                <w:lang w:val="tr-TR"/>
              </w:rPr>
            </w:pPr>
          </w:p>
        </w:tc>
      </w:tr>
      <w:tr w:rsidR="00914C1C" w:rsidRPr="00FD434A"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rsidR="00914C1C" w:rsidRPr="00680767" w:rsidRDefault="00914C1C" w:rsidP="00680767">
            <w:pPr>
              <w:ind w:left="34"/>
              <w:jc w:val="both"/>
              <w:rPr>
                <w:sz w:val="20"/>
                <w:szCs w:val="20"/>
                <w:lang w:val="tr-TR"/>
              </w:rPr>
            </w:pPr>
          </w:p>
        </w:tc>
      </w:tr>
      <w:tr w:rsidR="00FE0808"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rsidR="006716CF" w:rsidRPr="00680767" w:rsidRDefault="006716CF" w:rsidP="00680767">
            <w:pPr>
              <w:pStyle w:val="ListeParagraf"/>
              <w:ind w:left="34"/>
              <w:jc w:val="both"/>
              <w:rPr>
                <w:sz w:val="20"/>
                <w:szCs w:val="20"/>
                <w:lang w:val="tr-TR"/>
              </w:rPr>
            </w:pPr>
          </w:p>
        </w:tc>
      </w:tr>
      <w:tr w:rsidR="00FE0808"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pStyle w:val="ListeParagraf"/>
              <w:ind w:left="34"/>
              <w:jc w:val="both"/>
              <w:rPr>
                <w:sz w:val="20"/>
                <w:szCs w:val="20"/>
                <w:lang w:val="tr-TR"/>
              </w:rPr>
            </w:pPr>
            <w:proofErr w:type="spellStart"/>
            <w:r w:rsidRPr="00680767">
              <w:rPr>
                <w:sz w:val="20"/>
                <w:szCs w:val="20"/>
                <w:lang w:val="tr-TR"/>
              </w:rPr>
              <w:t>Ondalıklı</w:t>
            </w:r>
            <w:proofErr w:type="spellEnd"/>
            <w:r w:rsidRPr="00680767">
              <w:rPr>
                <w:sz w:val="20"/>
                <w:szCs w:val="20"/>
                <w:lang w:val="tr-TR"/>
              </w:rPr>
              <w:t xml:space="preserve">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rsidR="00FE0808" w:rsidRPr="00680767" w:rsidRDefault="00FE0808"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proofErr w:type="gramStart"/>
            <w:r w:rsidR="00FD635D">
              <w:rPr>
                <w:sz w:val="20"/>
                <w:szCs w:val="20"/>
                <w:lang w:val="tr-TR"/>
              </w:rPr>
              <w:t xml:space="preserve">. </w:t>
            </w:r>
            <w:proofErr w:type="gramEnd"/>
            <w:r w:rsidR="00FD635D">
              <w:rPr>
                <w:sz w:val="20"/>
                <w:szCs w:val="20"/>
                <w:lang w:val="tr-TR"/>
              </w:rPr>
              <w:t xml:space="preserve">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bookmarkStart w:id="0" w:name="_GoBack"/>
            <w:bookmarkEnd w:id="0"/>
          </w:p>
          <w:p w:rsidR="006716CF" w:rsidRPr="00680767" w:rsidRDefault="006716CF" w:rsidP="00680767">
            <w:pPr>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rsidR="006716CF" w:rsidRPr="00680767" w:rsidRDefault="006716CF" w:rsidP="00680767">
            <w:pPr>
              <w:ind w:left="34"/>
              <w:jc w:val="both"/>
              <w:rPr>
                <w:sz w:val="20"/>
                <w:szCs w:val="20"/>
                <w:lang w:val="tr-TR"/>
              </w:rPr>
            </w:pPr>
          </w:p>
        </w:tc>
      </w:tr>
      <w:tr w:rsidR="006716CF" w:rsidRPr="00FD434A"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rsidR="006716CF" w:rsidRPr="00680767" w:rsidRDefault="006716CF" w:rsidP="00680767">
            <w:pPr>
              <w:ind w:left="34"/>
              <w:jc w:val="both"/>
              <w:rPr>
                <w:sz w:val="20"/>
                <w:szCs w:val="20"/>
                <w:lang w:val="tr-TR"/>
              </w:rPr>
            </w:pPr>
          </w:p>
        </w:tc>
      </w:tr>
      <w:tr w:rsidR="006716CF" w:rsidRPr="00FD434A"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rsidR="006716CF" w:rsidRPr="00680767" w:rsidRDefault="006716CF" w:rsidP="00680767">
            <w:pPr>
              <w:pStyle w:val="ListeParagraf"/>
              <w:ind w:left="34"/>
              <w:jc w:val="both"/>
              <w:rPr>
                <w:sz w:val="20"/>
                <w:szCs w:val="20"/>
                <w:lang w:val="tr-TR"/>
              </w:rPr>
            </w:pPr>
          </w:p>
        </w:tc>
      </w:tr>
      <w:tr w:rsidR="006716CF"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rsidR="006716CF" w:rsidRPr="00680767" w:rsidRDefault="006716CF" w:rsidP="00680767">
            <w:pPr>
              <w:ind w:left="34"/>
              <w:jc w:val="both"/>
              <w:rPr>
                <w:sz w:val="20"/>
                <w:szCs w:val="20"/>
                <w:lang w:val="tr-TR"/>
              </w:rPr>
            </w:pPr>
          </w:p>
        </w:tc>
      </w:tr>
      <w:tr w:rsidR="00680767" w:rsidRPr="00FD635D" w:rsidTr="00FD434A">
        <w:tc>
          <w:tcPr>
            <w:tcW w:w="675" w:type="dxa"/>
          </w:tcPr>
          <w:p>
            <w:pPr>
              <w:jc w:val="center"/>
            </w:pPr>
            <w:r>
              <w:rPr>
                <w:rFonts w:ascii="Times New Roman" w:hAnsi="Times New Roman" w:cs="Times New Roman" w:eastAsia="Times New Roman"/>
                <w:b/>
                <w:i w:val="0"/>
                <w:sz w:val="28"/>
                <w:u w:val="none"/>
              </w:rPr>
              <w:t>✓</w:t>
            </w:r>
          </w:p>
        </w:tc>
        <w:tc>
          <w:tcPr>
            <w:tcW w:w="8537" w:type="dxa"/>
          </w:tcPr>
          <w:p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rsidR="00680767" w:rsidRPr="00680767" w:rsidRDefault="00680767" w:rsidP="00680767">
            <w:pPr>
              <w:pStyle w:val="ListeParagraf"/>
              <w:ind w:left="34"/>
              <w:jc w:val="both"/>
              <w:rPr>
                <w:sz w:val="20"/>
                <w:szCs w:val="20"/>
                <w:lang w:val="tr-TR"/>
              </w:rPr>
            </w:pPr>
          </w:p>
        </w:tc>
      </w:tr>
    </w:tbl>
    <w:p w:rsidR="00914C1C" w:rsidRPr="00680767" w:rsidRDefault="00914C1C" w:rsidP="00680767">
      <w:pPr>
        <w:pStyle w:val="ListeParagraf"/>
        <w:rPr>
          <w:lang w:val="tr-TR"/>
        </w:rPr>
      </w:pPr>
    </w:p>
    <w:p>
      <w:r>
        <w:br w:type="page"/>
      </w:r>
    </w:p>
    <w:p>
      <w:pPr>
        <w:spacing w:line="360" w:lineRule="auto" w:before="0" w:after="0"/>
        <w:jc w:val="center"/>
      </w:pPr>
      <w:r>
        <w:rPr>
          <w:rFonts w:ascii="Times New Roman" w:hAnsi="Times New Roman" w:cs="Times New Roman" w:eastAsia="Times New Roman"/>
          <w:b/>
          <w:i w:val="0"/>
          <w:sz w:val="28"/>
          <w:u w:val="none"/>
        </w:rPr>
        <w:t>AURIS: Çoklu-model topluluk yaklaşımı ile yapay zekâ tarafından üretilen müziklerin tespiti</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pPr>
      <w:r>
        <w:rPr>
          <w:rFonts w:ascii="Times New Roman" w:hAnsi="Times New Roman" w:cs="Times New Roman" w:eastAsia="Times New Roman"/>
          <w:b/>
          <w:i w:val="0"/>
          <w:sz w:val="18"/>
          <w:u w:val="none"/>
        </w:rPr>
        <w:t>Öne Çıkanlar</w:t>
      </w:r>
    </w:p>
    <w:p>
      <w:pPr>
        <w:spacing w:line="360" w:lineRule="auto" w:before="0" w:after="0"/>
      </w:pPr>
      <w:r>
        <w:rPr>
          <w:rFonts w:ascii="Times New Roman" w:hAnsi="Times New Roman" w:cs="Times New Roman" w:eastAsia="Times New Roman"/>
          <w:b w:val="0"/>
          <w:i w:val="0"/>
          <w:sz w:val="18"/>
          <w:u w:val="none"/>
        </w:rPr>
        <w:t>• Yapay zekâ tarafından üretilen müzik tespiti için 47 boyutlu akustik öznitelik vektörü ve 11 modelli topluluk öğrenmesi yaklaşımı</w:t>
      </w:r>
    </w:p>
    <w:p>
      <w:pPr>
        <w:spacing w:line="360" w:lineRule="auto" w:before="0" w:after="0"/>
      </w:pPr>
      <w:r>
        <w:rPr>
          <w:rFonts w:ascii="Times New Roman" w:hAnsi="Times New Roman" w:cs="Times New Roman" w:eastAsia="Times New Roman"/>
          <w:b w:val="0"/>
          <w:i w:val="0"/>
          <w:sz w:val="18"/>
          <w:u w:val="none"/>
        </w:rPr>
        <w:t>• LightGBM ile %95,48 ROC-AUC ve ±0,0023 katlar-arası standart sapma</w:t>
      </w:r>
    </w:p>
    <w:p>
      <w:pPr>
        <w:spacing w:line="360" w:lineRule="auto" w:before="0" w:after="0"/>
      </w:pPr>
      <w:r>
        <w:rPr>
          <w:rFonts w:ascii="Times New Roman" w:hAnsi="Times New Roman" w:cs="Times New Roman" w:eastAsia="Times New Roman"/>
          <w:b w:val="0"/>
          <w:i w:val="0"/>
          <w:sz w:val="18"/>
          <w:u w:val="none"/>
        </w:rPr>
        <w:t>• Spektral düzlük standart sapması yapay zekâ-insan ayrımı için en bilgilendirici öznitelik olarak tespit edildi</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pPr>
      <w:r>
        <w:rPr>
          <w:rFonts w:ascii="Times New Roman" w:hAnsi="Times New Roman" w:cs="Times New Roman" w:eastAsia="Times New Roman"/>
          <w:b/>
          <w:i w:val="0"/>
          <w:sz w:val="18"/>
          <w:u w:val="none"/>
        </w:rPr>
        <w:t>Öz</w:t>
      </w:r>
    </w:p>
    <w:p>
      <w:pPr>
        <w:spacing w:line="360" w:lineRule="auto" w:before="0" w:after="0"/>
        <w:ind w:firstLine="283"/>
        <w:jc w:val="both"/>
      </w:pPr>
      <w:r>
        <w:rPr>
          <w:rFonts w:ascii="Times New Roman" w:hAnsi="Times New Roman" w:cs="Times New Roman" w:eastAsia="Times New Roman"/>
          <w:b w:val="0"/>
          <w:i w:val="0"/>
          <w:sz w:val="18"/>
          <w:u w:val="none"/>
        </w:rPr>
        <w:t>Suno, Udio ve MusicGen gibi metinden müziğe üretim sistemlerinin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ölçülmüş ve modelin olasılık çıktılarının iyi kalibre olduğu doğrulanmıştır.</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pPr>
      <w:r>
        <w:rPr>
          <w:rFonts w:ascii="Times New Roman" w:hAnsi="Times New Roman" w:cs="Times New Roman" w:eastAsia="Times New Roman"/>
          <w:b/>
          <w:i w:val="0"/>
          <w:sz w:val="18"/>
          <w:u w:val="none"/>
        </w:rPr>
        <w:t>Anahtar Kelimeler</w:t>
      </w:r>
    </w:p>
    <w:p>
      <w:pPr>
        <w:spacing w:line="360" w:lineRule="auto" w:before="0" w:after="0"/>
      </w:pPr>
      <w:r>
        <w:rPr>
          <w:rFonts w:ascii="Times New Roman" w:hAnsi="Times New Roman" w:cs="Times New Roman" w:eastAsia="Times New Roman"/>
          <w:b w:val="0"/>
          <w:i w:val="0"/>
          <w:sz w:val="18"/>
          <w:u w:val="none"/>
        </w:rPr>
        <w:t>Yapay zekâ tarafından üretilen müzik, derin öğrenme, gradyan artırma, topluluk öğrenmesi, spektral düzlük</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jc w:val="center"/>
      </w:pPr>
      <w:r>
        <w:rPr>
          <w:rFonts w:ascii="Times New Roman" w:hAnsi="Times New Roman" w:cs="Times New Roman" w:eastAsia="Times New Roman"/>
          <w:b/>
          <w:i w:val="0"/>
          <w:sz w:val="28"/>
          <w:u w:val="none"/>
        </w:rPr>
        <w:t>AURIS: A multi-model ensemble approach for the detection of AI-generated music</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pPr>
      <w:r>
        <w:rPr>
          <w:rFonts w:ascii="Times New Roman" w:hAnsi="Times New Roman" w:cs="Times New Roman" w:eastAsia="Times New Roman"/>
          <w:b/>
          <w:i w:val="0"/>
          <w:sz w:val="18"/>
          <w:u w:val="none"/>
        </w:rPr>
        <w:t>Highlights</w:t>
      </w:r>
    </w:p>
    <w:p>
      <w:pPr>
        <w:spacing w:line="360" w:lineRule="auto" w:before="0" w:after="0"/>
      </w:pPr>
      <w:r>
        <w:rPr>
          <w:rFonts w:ascii="Times New Roman" w:hAnsi="Times New Roman" w:cs="Times New Roman" w:eastAsia="Times New Roman"/>
          <w:b w:val="0"/>
          <w:i w:val="0"/>
          <w:sz w:val="18"/>
          <w:u w:val="none"/>
        </w:rPr>
        <w:t>• End-to-end AI-generated music detection system using a 47-dimensional acoustic feature vector and 11-model ensemble</w:t>
      </w:r>
    </w:p>
    <w:p>
      <w:pPr>
        <w:spacing w:line="360" w:lineRule="auto" w:before="0" w:after="0"/>
      </w:pPr>
      <w:r>
        <w:rPr>
          <w:rFonts w:ascii="Times New Roman" w:hAnsi="Times New Roman" w:cs="Times New Roman" w:eastAsia="Times New Roman"/>
          <w:b w:val="0"/>
          <w:i w:val="0"/>
          <w:sz w:val="18"/>
          <w:u w:val="none"/>
        </w:rPr>
        <w:t>• LightGBM achieves 95.48% ROC-AUC with ±0.0023 cross-fold standard deviation, the lowest variance in the pool</w:t>
      </w:r>
    </w:p>
    <w:p>
      <w:pPr>
        <w:spacing w:line="360" w:lineRule="auto" w:before="0" w:after="0"/>
      </w:pPr>
      <w:r>
        <w:rPr>
          <w:rFonts w:ascii="Times New Roman" w:hAnsi="Times New Roman" w:cs="Times New Roman" w:eastAsia="Times New Roman"/>
          <w:b w:val="0"/>
          <w:i w:val="0"/>
          <w:sz w:val="18"/>
          <w:u w:val="none"/>
        </w:rPr>
        <w:t>• Spectral flatness standard deviation identified as the most informative feature for the AI-versus-human distinction</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pPr>
      <w:r>
        <w:rPr>
          <w:rFonts w:ascii="Times New Roman" w:hAnsi="Times New Roman" w:cs="Times New Roman" w:eastAsia="Times New Roman"/>
          <w:b/>
          <w:i w:val="0"/>
          <w:sz w:val="18"/>
          <w:u w:val="none"/>
        </w:rPr>
        <w:t>Abstract</w:t>
      </w:r>
    </w:p>
    <w:p>
      <w:pPr>
        <w:spacing w:line="360" w:lineRule="auto" w:before="0" w:after="0"/>
        <w:ind w:firstLine="283"/>
        <w:jc w:val="both"/>
      </w:pPr>
      <w:r>
        <w:rPr>
          <w:rFonts w:ascii="Times New Roman" w:hAnsi="Times New Roman" w:cs="Times New Roman" w:eastAsia="Times New Roman"/>
          <w:b w:val="0"/>
          <w:i w:val="0"/>
          <w:sz w:val="18"/>
          <w:u w:val="none"/>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pPr>
      <w:r>
        <w:rPr>
          <w:rFonts w:ascii="Times New Roman" w:hAnsi="Times New Roman" w:cs="Times New Roman" w:eastAsia="Times New Roman"/>
          <w:b/>
          <w:i w:val="0"/>
          <w:sz w:val="18"/>
          <w:u w:val="none"/>
        </w:rPr>
        <w:t>Key Words</w:t>
      </w:r>
    </w:p>
    <w:p>
      <w:pPr>
        <w:spacing w:line="360" w:lineRule="auto" w:before="0" w:after="0"/>
      </w:pPr>
      <w:r>
        <w:rPr>
          <w:rFonts w:ascii="Times New Roman" w:hAnsi="Times New Roman" w:cs="Times New Roman" w:eastAsia="Times New Roman"/>
          <w:b w:val="0"/>
          <w:i w:val="0"/>
          <w:sz w:val="18"/>
          <w:u w:val="none"/>
        </w:rPr>
        <w:t>AI-generated music, deep learning, gradient boosting, ensemble learning, spectral flatness</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pPr>
      <w:r>
        <w:rPr>
          <w:rFonts w:ascii="Times New Roman" w:hAnsi="Times New Roman" w:cs="Times New Roman" w:eastAsia="Times New Roman"/>
          <w:b/>
          <w:i w:val="0"/>
          <w:sz w:val="18"/>
          <w:u w:val="none"/>
        </w:rPr>
        <w:t xml:space="preserve">1. Giriş </w:t>
      </w:r>
      <w:r>
        <w:rPr>
          <w:rFonts w:ascii="Times New Roman" w:hAnsi="Times New Roman" w:cs="Times New Roman" w:eastAsia="Times New Roman"/>
          <w:b/>
          <w:i w:val="0"/>
          <w:sz w:val="16"/>
          <w:u w:val="none"/>
        </w:rPr>
        <w:t>(Introduction)</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Yapay zekâ tabanlı metinden müziğe üretim sistemlerinin son üç yıl içerisinde araştırma laboratuvarlarından tüketici uygulamalarına doğru yaşadığı hızlı geçiş, üretilen müzik parçalarının insan kayıtlarından ayırt edilmesini önemli bir problem olarak gündeme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kritik konuları doğrudan etkilemektedir.</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Konuşma için ses derin sahte tespiti ADD 2022 [3] yarışmaları ve WaveFake [4] gibi büyük ölçekli veri kümeleri sayesinde aktif bir araştırma alanı hâline gelmiştir. Buna karşın, yapay zekâ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belirtmektedir.</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on iki yapay zekâ üreticisinden ve birden çok insan kaynağından derlenen 5.195 örneklik halka açık bir veri kümesi, yedi makine öğrenmesi ve dört derin öğrenme algoritmasının ortak bir 5-katlı çapraz doğrulama protokolü altında karşılaştırmalı değerlendirilmesi ve SHAP [11] tabanlı bir yorumlanabilirlik analizi sunulmaktadır.</w:t>
      </w:r>
    </w:p>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2. Teorik Metot </w:t>
      </w:r>
      <w:r>
        <w:rPr>
          <w:rFonts w:ascii="Times New Roman" w:hAnsi="Times New Roman" w:cs="Times New Roman" w:eastAsia="Times New Roman"/>
          <w:b/>
          <w:i w:val="0"/>
          <w:sz w:val="16"/>
          <w:u w:val="none"/>
        </w:rPr>
        <w:t>(Theoretical Method)</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Bu bölümde önerilen AURIS sistemini geliştirmek için kullanılan veri kümesi, öznitelik çıkarma süreci, sınıflandırma modelleri ve eğitim protokolü detaylandırılmaktadır. Önerilen sistemin uçtan-uca işleyişine genel bir bakış Şekil 1'de sunulmuştur.</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5400000" cy="1742967"/>
            <wp:docPr id="2" name="Picture 2"/>
            <wp:cNvGraphicFramePr>
              <a:graphicFrameLocks noChangeAspect="1"/>
            </wp:cNvGraphicFramePr>
            <a:graphic>
              <a:graphicData uri="http://schemas.openxmlformats.org/drawingml/2006/picture">
                <pic:pic>
                  <pic:nvPicPr>
                    <pic:cNvPr id="0" name="paper_pipeline_diagram.png"/>
                    <pic:cNvPicPr/>
                  </pic:nvPicPr>
                  <pic:blipFill>
                    <a:blip r:embed="rId8"/>
                    <a:stretch>
                      <a:fillRect/>
                    </a:stretch>
                  </pic:blipFill>
                  <pic:spPr>
                    <a:xfrm>
                      <a:off x="0" y="0"/>
                      <a:ext cx="5400000" cy="1742967"/>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 AURIS uçtan-uca işleyiş şeması. </w:t>
      </w:r>
      <w:r>
        <w:rPr>
          <w:rFonts w:ascii="Times New Roman" w:hAnsi="Times New Roman" w:cs="Times New Roman" w:eastAsia="Times New Roman"/>
          <w:b/>
          <w:i w:val="0"/>
          <w:sz w:val="16"/>
          <w:u w:val="none"/>
        </w:rPr>
        <w:t>(End-to-end AURIS pipeline.)</w:t>
      </w:r>
    </w:p>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2.1. Kullanılan veri kümesi </w:t>
      </w:r>
      <w:r>
        <w:rPr>
          <w:rFonts w:ascii="Times New Roman" w:hAnsi="Times New Roman" w:cs="Times New Roman" w:eastAsia="Times New Roman"/>
          <w:b/>
          <w:i w:val="0"/>
          <w:sz w:val="16"/>
          <w:u w:val="none"/>
        </w:rPr>
        <w:t>(Utilized dataset)</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pPr>
        <w:spacing w:line="360" w:lineRule="auto" w:before="0" w:after="0"/>
      </w:pPr>
    </w:p>
    <w:p>
      <w:pPr>
        <w:spacing w:line="360" w:lineRule="auto" w:before="0" w:after="0"/>
        <w:jc w:val="center"/>
      </w:pPr>
      <w:r>
        <w:rPr>
          <w:rFonts w:ascii="Times New Roman" w:hAnsi="Times New Roman" w:cs="Times New Roman" w:eastAsia="Times New Roman"/>
          <w:b w:val="0"/>
          <w:i w:val="0"/>
          <w:sz w:val="18"/>
          <w:u w:val="none"/>
        </w:rPr>
        <w:t xml:space="preserve">Tablo 1. Veri kümesi kompozisyonu </w:t>
      </w:r>
      <w:r>
        <w:rPr>
          <w:rFonts w:ascii="Times New Roman" w:hAnsi="Times New Roman" w:cs="Times New Roman" w:eastAsia="Times New Roman"/>
          <w:b/>
          <w:i w:val="0"/>
          <w:sz w:val="16"/>
          <w:u w:val="none"/>
        </w:rPr>
        <w:t>(Dataset composition)</w:t>
      </w:r>
    </w:p>
    <w:tbl>
      <w:tblPr>
        <w:tblStyle w:val="TabloKlavuzu"/>
        <w:tblW w:type="auto" w:w="0"/>
        <w:tblLook w:firstColumn="1" w:firstRow="1" w:lastColumn="0" w:lastRow="0" w:noHBand="0" w:noVBand="1" w:val="04A0"/>
      </w:tblPr>
      <w:tblGrid>
        <w:gridCol w:w="2268"/>
        <w:gridCol w:w="2268"/>
        <w:gridCol w:w="2268"/>
        <w:gridCol w:w="2268"/>
      </w:tblGrid>
      <w:tr>
        <w:tc>
          <w:tcPr>
            <w:tcW w:type="dxa" w:w="2268"/>
          </w:tcPr>
          <w:p>
            <w:pPr>
              <w:spacing w:line="360" w:lineRule="auto" w:before="0" w:after="0"/>
              <w:jc w:val="center"/>
            </w:pPr>
            <w:r>
              <w:rPr>
                <w:rFonts w:ascii="Times New Roman" w:hAnsi="Times New Roman" w:cs="Times New Roman" w:eastAsia="Times New Roman"/>
                <w:b w:val="0"/>
                <w:i w:val="0"/>
                <w:sz w:val="18"/>
                <w:u w:val="none"/>
              </w:rPr>
              <w:t>Kaynak</w:t>
            </w:r>
          </w:p>
        </w:tc>
        <w:tc>
          <w:tcPr>
            <w:tcW w:type="dxa" w:w="2268"/>
          </w:tcPr>
          <w:p>
            <w:pPr>
              <w:spacing w:line="360" w:lineRule="auto" w:before="0" w:after="0"/>
              <w:jc w:val="center"/>
            </w:pPr>
            <w:r>
              <w:rPr>
                <w:rFonts w:ascii="Times New Roman" w:hAnsi="Times New Roman" w:cs="Times New Roman" w:eastAsia="Times New Roman"/>
                <w:b w:val="0"/>
                <w:i w:val="0"/>
                <w:sz w:val="18"/>
                <w:u w:val="none"/>
              </w:rPr>
              <w:t>Tür</w:t>
            </w:r>
          </w:p>
        </w:tc>
        <w:tc>
          <w:tcPr>
            <w:tcW w:type="dxa" w:w="2268"/>
          </w:tcPr>
          <w:p>
            <w:pPr>
              <w:spacing w:line="360" w:lineRule="auto" w:before="0" w:after="0"/>
              <w:jc w:val="center"/>
            </w:pPr>
            <w:r>
              <w:rPr>
                <w:rFonts w:ascii="Times New Roman" w:hAnsi="Times New Roman" w:cs="Times New Roman" w:eastAsia="Times New Roman"/>
                <w:b w:val="0"/>
                <w:i w:val="0"/>
                <w:sz w:val="18"/>
                <w:u w:val="none"/>
              </w:rPr>
              <w:t>Örnek Sayısı</w:t>
            </w:r>
          </w:p>
        </w:tc>
        <w:tc>
          <w:tcPr>
            <w:tcW w:type="dxa" w:w="2268"/>
          </w:tcPr>
          <w:p>
            <w:pPr>
              <w:spacing w:line="360" w:lineRule="auto" w:before="0" w:after="0"/>
              <w:jc w:val="center"/>
            </w:pPr>
            <w:r>
              <w:rPr>
                <w:rFonts w:ascii="Times New Roman" w:hAnsi="Times New Roman" w:cs="Times New Roman" w:eastAsia="Times New Roman"/>
                <w:b w:val="0"/>
                <w:i w:val="0"/>
                <w:sz w:val="18"/>
                <w:u w:val="none"/>
              </w:rPr>
              <w:t>Etiket</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GTZAN</w:t>
            </w:r>
          </w:p>
        </w:tc>
        <w:tc>
          <w:tcPr>
            <w:tcW w:type="dxa" w:w="2268"/>
          </w:tcPr>
          <w:p>
            <w:pPr>
              <w:spacing w:line="360" w:lineRule="auto" w:before="0" w:after="0"/>
              <w:jc w:val="center"/>
            </w:pPr>
            <w:r>
              <w:rPr>
                <w:rFonts w:ascii="Times New Roman" w:hAnsi="Times New Roman" w:cs="Times New Roman" w:eastAsia="Times New Roman"/>
                <w:b w:val="0"/>
                <w:i w:val="0"/>
                <w:sz w:val="18"/>
                <w:u w:val="none"/>
              </w:rPr>
              <w:t>İnsan</w:t>
            </w:r>
          </w:p>
        </w:tc>
        <w:tc>
          <w:tcPr>
            <w:tcW w:type="dxa" w:w="2268"/>
          </w:tcPr>
          <w:p>
            <w:pPr>
              <w:spacing w:line="360" w:lineRule="auto" w:before="0" w:after="0"/>
              <w:jc w:val="center"/>
            </w:pPr>
            <w:r>
              <w:rPr>
                <w:rFonts w:ascii="Times New Roman" w:hAnsi="Times New Roman" w:cs="Times New Roman" w:eastAsia="Times New Roman"/>
                <w:b w:val="0"/>
                <w:i w:val="0"/>
                <w:sz w:val="18"/>
                <w:u w:val="none"/>
              </w:rPr>
              <w:t>899</w:t>
            </w:r>
          </w:p>
        </w:tc>
        <w:tc>
          <w:tcPr>
            <w:tcW w:type="dxa" w:w="2268"/>
          </w:tcPr>
          <w:p>
            <w:pPr>
              <w:spacing w:line="360" w:lineRule="auto" w:before="0" w:after="0"/>
              <w:jc w:val="center"/>
            </w:pPr>
            <w:r>
              <w:rPr>
                <w:rFonts w:ascii="Times New Roman" w:hAnsi="Times New Roman" w:cs="Times New Roman" w:eastAsia="Times New Roman"/>
                <w:b w:val="0"/>
                <w:i w:val="0"/>
                <w:sz w:val="18"/>
                <w:u w:val="none"/>
              </w:rPr>
              <w:t>0</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FMA Small</w:t>
            </w:r>
          </w:p>
        </w:tc>
        <w:tc>
          <w:tcPr>
            <w:tcW w:type="dxa" w:w="2268"/>
          </w:tcPr>
          <w:p>
            <w:pPr>
              <w:spacing w:line="360" w:lineRule="auto" w:before="0" w:after="0"/>
              <w:jc w:val="center"/>
            </w:pPr>
            <w:r>
              <w:rPr>
                <w:rFonts w:ascii="Times New Roman" w:hAnsi="Times New Roman" w:cs="Times New Roman" w:eastAsia="Times New Roman"/>
                <w:b w:val="0"/>
                <w:i w:val="0"/>
                <w:sz w:val="18"/>
                <w:u w:val="none"/>
              </w:rPr>
              <w:t>İnsan</w:t>
            </w:r>
          </w:p>
        </w:tc>
        <w:tc>
          <w:tcPr>
            <w:tcW w:type="dxa" w:w="2268"/>
          </w:tcPr>
          <w:p>
            <w:pPr>
              <w:spacing w:line="360" w:lineRule="auto" w:before="0" w:after="0"/>
              <w:jc w:val="center"/>
            </w:pPr>
            <w:r>
              <w:rPr>
                <w:rFonts w:ascii="Times New Roman" w:hAnsi="Times New Roman" w:cs="Times New Roman" w:eastAsia="Times New Roman"/>
                <w:b w:val="0"/>
                <w:i w:val="0"/>
                <w:sz w:val="18"/>
                <w:u w:val="none"/>
              </w:rPr>
              <w:t>1.000</w:t>
            </w:r>
          </w:p>
        </w:tc>
        <w:tc>
          <w:tcPr>
            <w:tcW w:type="dxa" w:w="2268"/>
          </w:tcPr>
          <w:p>
            <w:pPr>
              <w:spacing w:line="360" w:lineRule="auto" w:before="0" w:after="0"/>
              <w:jc w:val="center"/>
            </w:pPr>
            <w:r>
              <w:rPr>
                <w:rFonts w:ascii="Times New Roman" w:hAnsi="Times New Roman" w:cs="Times New Roman" w:eastAsia="Times New Roman"/>
                <w:b w:val="0"/>
                <w:i w:val="0"/>
                <w:sz w:val="18"/>
                <w:u w:val="none"/>
              </w:rPr>
              <w:t>0</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SleepyJesse</w:t>
            </w:r>
          </w:p>
        </w:tc>
        <w:tc>
          <w:tcPr>
            <w:tcW w:type="dxa" w:w="2268"/>
          </w:tcPr>
          <w:p>
            <w:pPr>
              <w:spacing w:line="360" w:lineRule="auto" w:before="0" w:after="0"/>
              <w:jc w:val="center"/>
            </w:pPr>
            <w:r>
              <w:rPr>
                <w:rFonts w:ascii="Times New Roman" w:hAnsi="Times New Roman" w:cs="Times New Roman" w:eastAsia="Times New Roman"/>
                <w:b w:val="0"/>
                <w:i w:val="0"/>
                <w:sz w:val="18"/>
                <w:u w:val="none"/>
              </w:rPr>
              <w:t>İnsan (kapak)</w:t>
            </w:r>
          </w:p>
        </w:tc>
        <w:tc>
          <w:tcPr>
            <w:tcW w:type="dxa" w:w="2268"/>
          </w:tcPr>
          <w:p>
            <w:pPr>
              <w:spacing w:line="360" w:lineRule="auto" w:before="0" w:after="0"/>
              <w:jc w:val="center"/>
            </w:pPr>
            <w:r>
              <w:rPr>
                <w:rFonts w:ascii="Times New Roman" w:hAnsi="Times New Roman" w:cs="Times New Roman" w:eastAsia="Times New Roman"/>
                <w:b w:val="0"/>
                <w:i w:val="0"/>
                <w:sz w:val="18"/>
                <w:u w:val="none"/>
              </w:rPr>
              <w:t>854</w:t>
            </w:r>
          </w:p>
        </w:tc>
        <w:tc>
          <w:tcPr>
            <w:tcW w:type="dxa" w:w="2268"/>
          </w:tcPr>
          <w:p>
            <w:pPr>
              <w:spacing w:line="360" w:lineRule="auto" w:before="0" w:after="0"/>
              <w:jc w:val="center"/>
            </w:pPr>
            <w:r>
              <w:rPr>
                <w:rFonts w:ascii="Times New Roman" w:hAnsi="Times New Roman" w:cs="Times New Roman" w:eastAsia="Times New Roman"/>
                <w:b w:val="0"/>
                <w:i w:val="0"/>
                <w:sz w:val="18"/>
                <w:u w:val="none"/>
              </w:rPr>
              <w:t>0</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Diğer insan</w:t>
            </w:r>
          </w:p>
        </w:tc>
        <w:tc>
          <w:tcPr>
            <w:tcW w:type="dxa" w:w="2268"/>
          </w:tcPr>
          <w:p>
            <w:pPr>
              <w:spacing w:line="360" w:lineRule="auto" w:before="0" w:after="0"/>
              <w:jc w:val="center"/>
            </w:pPr>
            <w:r>
              <w:rPr>
                <w:rFonts w:ascii="Times New Roman" w:hAnsi="Times New Roman" w:cs="Times New Roman" w:eastAsia="Times New Roman"/>
                <w:b w:val="0"/>
                <w:i w:val="0"/>
                <w:sz w:val="18"/>
                <w:u w:val="none"/>
              </w:rPr>
              <w:t>İnsan</w:t>
            </w:r>
          </w:p>
        </w:tc>
        <w:tc>
          <w:tcPr>
            <w:tcW w:type="dxa" w:w="2268"/>
          </w:tcPr>
          <w:p>
            <w:pPr>
              <w:spacing w:line="360" w:lineRule="auto" w:before="0" w:after="0"/>
              <w:jc w:val="center"/>
            </w:pPr>
            <w:r>
              <w:rPr>
                <w:rFonts w:ascii="Times New Roman" w:hAnsi="Times New Roman" w:cs="Times New Roman" w:eastAsia="Times New Roman"/>
                <w:b w:val="0"/>
                <w:i w:val="0"/>
                <w:sz w:val="18"/>
                <w:u w:val="none"/>
              </w:rPr>
              <w:t>360</w:t>
            </w:r>
          </w:p>
        </w:tc>
        <w:tc>
          <w:tcPr>
            <w:tcW w:type="dxa" w:w="2268"/>
          </w:tcPr>
          <w:p>
            <w:pPr>
              <w:spacing w:line="360" w:lineRule="auto" w:before="0" w:after="0"/>
              <w:jc w:val="center"/>
            </w:pPr>
            <w:r>
              <w:rPr>
                <w:rFonts w:ascii="Times New Roman" w:hAnsi="Times New Roman" w:cs="Times New Roman" w:eastAsia="Times New Roman"/>
                <w:b w:val="0"/>
                <w:i w:val="0"/>
                <w:sz w:val="18"/>
                <w:u w:val="none"/>
              </w:rPr>
              <w:t>0</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Echoes</w:t>
            </w:r>
          </w:p>
        </w:tc>
        <w:tc>
          <w:tcPr>
            <w:tcW w:type="dxa" w:w="2268"/>
          </w:tcPr>
          <w:p>
            <w:pPr>
              <w:spacing w:line="360" w:lineRule="auto" w:before="0" w:after="0"/>
              <w:jc w:val="center"/>
            </w:pPr>
            <w:r>
              <w:rPr>
                <w:rFonts w:ascii="Times New Roman" w:hAnsi="Times New Roman" w:cs="Times New Roman" w:eastAsia="Times New Roman"/>
                <w:b w:val="0"/>
                <w:i w:val="0"/>
                <w:sz w:val="18"/>
                <w:u w:val="none"/>
              </w:rPr>
              <w:t>Yapay zekâ</w:t>
            </w:r>
          </w:p>
        </w:tc>
        <w:tc>
          <w:tcPr>
            <w:tcW w:type="dxa" w:w="2268"/>
          </w:tcPr>
          <w:p>
            <w:pPr>
              <w:spacing w:line="360" w:lineRule="auto" w:before="0" w:after="0"/>
              <w:jc w:val="center"/>
            </w:pPr>
            <w:r>
              <w:rPr>
                <w:rFonts w:ascii="Times New Roman" w:hAnsi="Times New Roman" w:cs="Times New Roman" w:eastAsia="Times New Roman"/>
                <w:b w:val="0"/>
                <w:i w:val="0"/>
                <w:sz w:val="18"/>
                <w:u w:val="none"/>
              </w:rPr>
              <w:t>1.128</w:t>
            </w:r>
          </w:p>
        </w:tc>
        <w:tc>
          <w:tcPr>
            <w:tcW w:type="dxa" w:w="2268"/>
          </w:tcPr>
          <w:p>
            <w:pPr>
              <w:spacing w:line="360" w:lineRule="auto" w:before="0" w:after="0"/>
              <w:jc w:val="center"/>
            </w:pPr>
            <w:r>
              <w:rPr>
                <w:rFonts w:ascii="Times New Roman" w:hAnsi="Times New Roman" w:cs="Times New Roman" w:eastAsia="Times New Roman"/>
                <w:b w:val="0"/>
                <w:i w:val="0"/>
                <w:sz w:val="18"/>
                <w:u w:val="none"/>
              </w:rPr>
              <w:t>1</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Suno (v3-v5)</w:t>
            </w:r>
          </w:p>
        </w:tc>
        <w:tc>
          <w:tcPr>
            <w:tcW w:type="dxa" w:w="2268"/>
          </w:tcPr>
          <w:p>
            <w:pPr>
              <w:spacing w:line="360" w:lineRule="auto" w:before="0" w:after="0"/>
              <w:jc w:val="center"/>
            </w:pPr>
            <w:r>
              <w:rPr>
                <w:rFonts w:ascii="Times New Roman" w:hAnsi="Times New Roman" w:cs="Times New Roman" w:eastAsia="Times New Roman"/>
                <w:b w:val="0"/>
                <w:i w:val="0"/>
                <w:sz w:val="18"/>
                <w:u w:val="none"/>
              </w:rPr>
              <w:t>Yapay zekâ</w:t>
            </w:r>
          </w:p>
        </w:tc>
        <w:tc>
          <w:tcPr>
            <w:tcW w:type="dxa" w:w="2268"/>
          </w:tcPr>
          <w:p>
            <w:pPr>
              <w:spacing w:line="360" w:lineRule="auto" w:before="0" w:after="0"/>
              <w:jc w:val="center"/>
            </w:pPr>
            <w:r>
              <w:rPr>
                <w:rFonts w:ascii="Times New Roman" w:hAnsi="Times New Roman" w:cs="Times New Roman" w:eastAsia="Times New Roman"/>
                <w:b w:val="0"/>
                <w:i w:val="0"/>
                <w:sz w:val="18"/>
                <w:u w:val="none"/>
              </w:rPr>
              <w:t>500</w:t>
            </w:r>
          </w:p>
        </w:tc>
        <w:tc>
          <w:tcPr>
            <w:tcW w:type="dxa" w:w="2268"/>
          </w:tcPr>
          <w:p>
            <w:pPr>
              <w:spacing w:line="360" w:lineRule="auto" w:before="0" w:after="0"/>
              <w:jc w:val="center"/>
            </w:pPr>
            <w:r>
              <w:rPr>
                <w:rFonts w:ascii="Times New Roman" w:hAnsi="Times New Roman" w:cs="Times New Roman" w:eastAsia="Times New Roman"/>
                <w:b w:val="0"/>
                <w:i w:val="0"/>
                <w:sz w:val="18"/>
                <w:u w:val="none"/>
              </w:rPr>
              <w:t>1</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Deepfake seti</w:t>
            </w:r>
          </w:p>
        </w:tc>
        <w:tc>
          <w:tcPr>
            <w:tcW w:type="dxa" w:w="2268"/>
          </w:tcPr>
          <w:p>
            <w:pPr>
              <w:spacing w:line="360" w:lineRule="auto" w:before="0" w:after="0"/>
              <w:jc w:val="center"/>
            </w:pPr>
            <w:r>
              <w:rPr>
                <w:rFonts w:ascii="Times New Roman" w:hAnsi="Times New Roman" w:cs="Times New Roman" w:eastAsia="Times New Roman"/>
                <w:b w:val="0"/>
                <w:i w:val="0"/>
                <w:sz w:val="18"/>
                <w:u w:val="none"/>
              </w:rPr>
              <w:t>Yapay zekâ</w:t>
            </w:r>
          </w:p>
        </w:tc>
        <w:tc>
          <w:tcPr>
            <w:tcW w:type="dxa" w:w="2268"/>
          </w:tcPr>
          <w:p>
            <w:pPr>
              <w:spacing w:line="360" w:lineRule="auto" w:before="0" w:after="0"/>
              <w:jc w:val="center"/>
            </w:pPr>
            <w:r>
              <w:rPr>
                <w:rFonts w:ascii="Times New Roman" w:hAnsi="Times New Roman" w:cs="Times New Roman" w:eastAsia="Times New Roman"/>
                <w:b w:val="0"/>
                <w:i w:val="0"/>
                <w:sz w:val="18"/>
                <w:u w:val="none"/>
              </w:rPr>
              <w:t>492</w:t>
            </w:r>
          </w:p>
        </w:tc>
        <w:tc>
          <w:tcPr>
            <w:tcW w:type="dxa" w:w="2268"/>
          </w:tcPr>
          <w:p>
            <w:pPr>
              <w:spacing w:line="360" w:lineRule="auto" w:before="0" w:after="0"/>
              <w:jc w:val="center"/>
            </w:pPr>
            <w:r>
              <w:rPr>
                <w:rFonts w:ascii="Times New Roman" w:hAnsi="Times New Roman" w:cs="Times New Roman" w:eastAsia="Times New Roman"/>
                <w:b w:val="0"/>
                <w:i w:val="0"/>
                <w:sz w:val="18"/>
                <w:u w:val="none"/>
              </w:rPr>
              <w:t>1</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AImE/Mustango/JEN-1</w:t>
            </w:r>
          </w:p>
        </w:tc>
        <w:tc>
          <w:tcPr>
            <w:tcW w:type="dxa" w:w="2268"/>
          </w:tcPr>
          <w:p>
            <w:pPr>
              <w:spacing w:line="360" w:lineRule="auto" w:before="0" w:after="0"/>
              <w:jc w:val="center"/>
            </w:pPr>
            <w:r>
              <w:rPr>
                <w:rFonts w:ascii="Times New Roman" w:hAnsi="Times New Roman" w:cs="Times New Roman" w:eastAsia="Times New Roman"/>
                <w:b w:val="0"/>
                <w:i w:val="0"/>
                <w:sz w:val="18"/>
                <w:u w:val="none"/>
              </w:rPr>
              <w:t>Yapay zekâ</w:t>
            </w:r>
          </w:p>
        </w:tc>
        <w:tc>
          <w:tcPr>
            <w:tcW w:type="dxa" w:w="2268"/>
          </w:tcPr>
          <w:p>
            <w:pPr>
              <w:spacing w:line="360" w:lineRule="auto" w:before="0" w:after="0"/>
              <w:jc w:val="center"/>
            </w:pPr>
            <w:r>
              <w:rPr>
                <w:rFonts w:ascii="Times New Roman" w:hAnsi="Times New Roman" w:cs="Times New Roman" w:eastAsia="Times New Roman"/>
                <w:b w:val="0"/>
                <w:i w:val="0"/>
                <w:sz w:val="18"/>
                <w:u w:val="none"/>
              </w:rPr>
              <w:t>204</w:t>
            </w:r>
          </w:p>
        </w:tc>
        <w:tc>
          <w:tcPr>
            <w:tcW w:type="dxa" w:w="2268"/>
          </w:tcPr>
          <w:p>
            <w:pPr>
              <w:spacing w:line="360" w:lineRule="auto" w:before="0" w:after="0"/>
              <w:jc w:val="center"/>
            </w:pPr>
            <w:r>
              <w:rPr>
                <w:rFonts w:ascii="Times New Roman" w:hAnsi="Times New Roman" w:cs="Times New Roman" w:eastAsia="Times New Roman"/>
                <w:b w:val="0"/>
                <w:i w:val="0"/>
                <w:sz w:val="18"/>
                <w:u w:val="none"/>
              </w:rPr>
              <w:t>1</w:t>
            </w:r>
          </w:p>
        </w:tc>
      </w:tr>
      <w:tr>
        <w:tc>
          <w:tcPr>
            <w:tcW w:type="dxa" w:w="2268"/>
          </w:tcPr>
          <w:p>
            <w:pPr>
              <w:spacing w:line="360" w:lineRule="auto" w:before="0" w:after="0"/>
              <w:jc w:val="center"/>
            </w:pPr>
            <w:r>
              <w:rPr>
                <w:rFonts w:ascii="Times New Roman" w:hAnsi="Times New Roman" w:cs="Times New Roman" w:eastAsia="Times New Roman"/>
                <w:b w:val="0"/>
                <w:i w:val="0"/>
                <w:sz w:val="18"/>
                <w:u w:val="none"/>
              </w:rPr>
              <w:t>Toplam</w:t>
            </w:r>
          </w:p>
        </w:tc>
        <w:tc>
          <w:tcPr>
            <w:tcW w:type="dxa" w:w="2268"/>
          </w:tcPr>
          <w:p>
            <w:pPr>
              <w:spacing w:line="360" w:lineRule="auto" w:before="0" w:after="0"/>
              <w:jc w:val="center"/>
            </w:pPr>
            <w:r>
              <w:rPr>
                <w:rFonts w:ascii="Times New Roman" w:hAnsi="Times New Roman" w:cs="Times New Roman" w:eastAsia="Times New Roman"/>
                <w:b w:val="0"/>
                <w:i w:val="0"/>
                <w:sz w:val="18"/>
                <w:u w:val="none"/>
              </w:rPr>
            </w:r>
          </w:p>
        </w:tc>
        <w:tc>
          <w:tcPr>
            <w:tcW w:type="dxa" w:w="2268"/>
          </w:tcPr>
          <w:p>
            <w:pPr>
              <w:spacing w:line="360" w:lineRule="auto" w:before="0" w:after="0"/>
              <w:jc w:val="center"/>
            </w:pPr>
            <w:r>
              <w:rPr>
                <w:rFonts w:ascii="Times New Roman" w:hAnsi="Times New Roman" w:cs="Times New Roman" w:eastAsia="Times New Roman"/>
                <w:b w:val="0"/>
                <w:i w:val="0"/>
                <w:sz w:val="18"/>
                <w:u w:val="none"/>
              </w:rPr>
              <w:t>5.195</w:t>
            </w:r>
          </w:p>
        </w:tc>
        <w:tc>
          <w:tcPr>
            <w:tcW w:type="dxa" w:w="2268"/>
          </w:tcPr>
          <w:p>
            <w:pPr>
              <w:spacing w:line="360" w:lineRule="auto" w:before="0" w:after="0"/>
              <w:jc w:val="center"/>
            </w:pPr>
            <w:r>
              <w:rPr>
                <w:rFonts w:ascii="Times New Roman" w:hAnsi="Times New Roman" w:cs="Times New Roman" w:eastAsia="Times New Roman"/>
                <w:b w:val="0"/>
                <w:i w:val="0"/>
                <w:sz w:val="18"/>
                <w:u w:val="none"/>
              </w:rPr>
            </w:r>
          </w:p>
        </w:tc>
      </w:tr>
    </w:tbl>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2.2. Öznitelik çıkarma </w:t>
      </w:r>
      <w:r>
        <w:rPr>
          <w:rFonts w:ascii="Times New Roman" w:hAnsi="Times New Roman" w:cs="Times New Roman" w:eastAsia="Times New Roman"/>
          <w:b/>
          <w:i w:val="0"/>
          <w:sz w:val="16"/>
          <w:u w:val="none"/>
        </w:rPr>
        <w:t>(Feature extraction)</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5400000" cy="2939098"/>
            <wp:docPr id="3" name="Picture 3"/>
            <wp:cNvGraphicFramePr>
              <a:graphicFrameLocks noChangeAspect="1"/>
            </wp:cNvGraphicFramePr>
            <a:graphic>
              <a:graphicData uri="http://schemas.openxmlformats.org/drawingml/2006/picture">
                <pic:pic>
                  <pic:nvPicPr>
                    <pic:cNvPr id="0" name="feature_distribution_ai_vs_human.png"/>
                    <pic:cNvPicPr/>
                  </pic:nvPicPr>
                  <pic:blipFill>
                    <a:blip r:embed="rId9"/>
                    <a:stretch>
                      <a:fillRect/>
                    </a:stretch>
                  </pic:blipFill>
                  <pic:spPr>
                    <a:xfrm>
                      <a:off x="0" y="0"/>
                      <a:ext cx="5400000" cy="2939098"/>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2. İlk sekiz özniteliğin dağılımları. </w:t>
      </w:r>
      <w:r>
        <w:rPr>
          <w:rFonts w:ascii="Times New Roman" w:hAnsi="Times New Roman" w:cs="Times New Roman" w:eastAsia="Times New Roman"/>
          <w:b/>
          <w:i w:val="0"/>
          <w:sz w:val="16"/>
          <w:u w:val="none"/>
        </w:rPr>
        <w:t>(Distribution of the top eight features.)</w:t>
      </w:r>
    </w:p>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2.3. Sınıflandırma modelleri </w:t>
      </w:r>
      <w:r>
        <w:rPr>
          <w:rFonts w:ascii="Times New Roman" w:hAnsi="Times New Roman" w:cs="Times New Roman" w:eastAsia="Times New Roman"/>
          <w:b/>
          <w:i w:val="0"/>
          <w:sz w:val="16"/>
          <w:u w:val="none"/>
        </w:rPr>
        <w:t>(Classification models)</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pPr>
        <w:spacing w:line="360" w:lineRule="auto" w:before="0" w:after="0"/>
      </w:pPr>
    </w:p>
    <w:p>
      <w:pPr>
        <w:spacing w:line="360" w:lineRule="auto" w:before="0" w:after="0"/>
        <w:jc w:val="center"/>
      </w:pPr>
      <w:r>
        <w:rPr>
          <w:rFonts w:ascii="Times New Roman" w:hAnsi="Times New Roman" w:cs="Times New Roman" w:eastAsia="Times New Roman"/>
          <w:b w:val="0"/>
          <w:i w:val="0"/>
          <w:sz w:val="18"/>
          <w:u w:val="none"/>
        </w:rPr>
        <w:t xml:space="preserve">Tablo 2. Modellerin temel hiperparametreleri </w:t>
      </w:r>
      <w:r>
        <w:rPr>
          <w:rFonts w:ascii="Times New Roman" w:hAnsi="Times New Roman" w:cs="Times New Roman" w:eastAsia="Times New Roman"/>
          <w:b/>
          <w:i w:val="0"/>
          <w:sz w:val="16"/>
          <w:u w:val="none"/>
        </w:rPr>
        <w:t>(Key hyperparameters of the models)</w:t>
      </w:r>
    </w:p>
    <w:tbl>
      <w:tblPr>
        <w:tblStyle w:val="TabloKlavuzu"/>
        <w:tblW w:type="auto" w:w="0"/>
        <w:tblLook w:firstColumn="1" w:firstRow="1" w:lastColumn="0" w:lastRow="0" w:noHBand="0" w:noVBand="1" w:val="04A0"/>
      </w:tblPr>
      <w:tblGrid>
        <w:gridCol w:w="3024"/>
        <w:gridCol w:w="3024"/>
        <w:gridCol w:w="3024"/>
      </w:tblGrid>
      <w:tr>
        <w:tc>
          <w:tcPr>
            <w:tcW w:type="dxa" w:w="3024"/>
          </w:tcPr>
          <w:p>
            <w:pPr>
              <w:spacing w:line="360" w:lineRule="auto" w:before="0" w:after="0"/>
              <w:jc w:val="center"/>
            </w:pPr>
            <w:r>
              <w:rPr>
                <w:rFonts w:ascii="Times New Roman" w:hAnsi="Times New Roman" w:cs="Times New Roman" w:eastAsia="Times New Roman"/>
                <w:b w:val="0"/>
                <w:i w:val="0"/>
                <w:sz w:val="18"/>
                <w:u w:val="none"/>
              </w:rPr>
              <w:t>Model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Tip</w:t>
            </w:r>
          </w:p>
        </w:tc>
        <w:tc>
          <w:tcPr>
            <w:tcW w:type="dxa" w:w="3024"/>
          </w:tcPr>
          <w:p>
            <w:pPr>
              <w:spacing w:line="360" w:lineRule="auto" w:before="0" w:after="0"/>
              <w:jc w:val="center"/>
            </w:pPr>
            <w:r>
              <w:rPr>
                <w:rFonts w:ascii="Times New Roman" w:hAnsi="Times New Roman" w:cs="Times New Roman" w:eastAsia="Times New Roman"/>
                <w:b w:val="0"/>
                <w:i w:val="0"/>
                <w:sz w:val="18"/>
                <w:u w:val="none"/>
              </w:rPr>
              <w:t>Temel Hiperparametreler</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Lojistik Regresyon</w:t>
            </w:r>
          </w:p>
        </w:tc>
        <w:tc>
          <w:tcPr>
            <w:tcW w:type="dxa" w:w="3024"/>
          </w:tcPr>
          <w:p>
            <w:pPr>
              <w:spacing w:line="360" w:lineRule="auto" w:before="0" w:after="0"/>
              <w:jc w:val="center"/>
            </w:pPr>
            <w:r>
              <w:rPr>
                <w:rFonts w:ascii="Times New Roman" w:hAnsi="Times New Roman" w:cs="Times New Roman" w:eastAsia="Times New Roman"/>
                <w:b w:val="0"/>
                <w:i w:val="0"/>
                <w:sz w:val="18"/>
                <w:u w:val="none"/>
              </w:rPr>
              <w:t>ML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C=2,0; max_iter=2500; balanced</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Rastgele Orman</w:t>
            </w:r>
          </w:p>
        </w:tc>
        <w:tc>
          <w:tcPr>
            <w:tcW w:type="dxa" w:w="3024"/>
          </w:tcPr>
          <w:p>
            <w:pPr>
              <w:spacing w:line="360" w:lineRule="auto" w:before="0" w:after="0"/>
              <w:jc w:val="center"/>
            </w:pPr>
            <w:r>
              <w:rPr>
                <w:rFonts w:ascii="Times New Roman" w:hAnsi="Times New Roman" w:cs="Times New Roman" w:eastAsia="Times New Roman"/>
                <w:b w:val="0"/>
                <w:i w:val="0"/>
                <w:sz w:val="18"/>
                <w:u w:val="none"/>
              </w:rPr>
              <w:t>ML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n_estimators=500; log2</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Gradyan Artırma</w:t>
            </w:r>
          </w:p>
        </w:tc>
        <w:tc>
          <w:tcPr>
            <w:tcW w:type="dxa" w:w="3024"/>
          </w:tcPr>
          <w:p>
            <w:pPr>
              <w:spacing w:line="360" w:lineRule="auto" w:before="0" w:after="0"/>
              <w:jc w:val="center"/>
            </w:pPr>
            <w:r>
              <w:rPr>
                <w:rFonts w:ascii="Times New Roman" w:hAnsi="Times New Roman" w:cs="Times New Roman" w:eastAsia="Times New Roman"/>
                <w:b w:val="0"/>
                <w:i w:val="0"/>
                <w:sz w:val="18"/>
                <w:u w:val="none"/>
              </w:rPr>
              <w:t>ML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n_estimators=180; max_depth=4; lr=0,07</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SVM-RBF</w:t>
            </w:r>
          </w:p>
        </w:tc>
        <w:tc>
          <w:tcPr>
            <w:tcW w:type="dxa" w:w="3024"/>
          </w:tcPr>
          <w:p>
            <w:pPr>
              <w:spacing w:line="360" w:lineRule="auto" w:before="0" w:after="0"/>
              <w:jc w:val="center"/>
            </w:pPr>
            <w:r>
              <w:rPr>
                <w:rFonts w:ascii="Times New Roman" w:hAnsi="Times New Roman" w:cs="Times New Roman" w:eastAsia="Times New Roman"/>
                <w:b w:val="0"/>
                <w:i w:val="0"/>
                <w:sz w:val="18"/>
                <w:u w:val="none"/>
              </w:rPr>
              <w:t>ML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C=10,0; gamma=0,05</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ÇKA Sinir Ağı</w:t>
            </w:r>
          </w:p>
        </w:tc>
        <w:tc>
          <w:tcPr>
            <w:tcW w:type="dxa" w:w="3024"/>
          </w:tcPr>
          <w:p>
            <w:pPr>
              <w:spacing w:line="360" w:lineRule="auto" w:before="0" w:after="0"/>
              <w:jc w:val="center"/>
            </w:pPr>
            <w:r>
              <w:rPr>
                <w:rFonts w:ascii="Times New Roman" w:hAnsi="Times New Roman" w:cs="Times New Roman" w:eastAsia="Times New Roman"/>
                <w:b w:val="0"/>
                <w:i w:val="0"/>
                <w:sz w:val="18"/>
                <w:u w:val="none"/>
              </w:rPr>
              <w:t>ML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128-64; relu; adam</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XGBoost</w:t>
            </w:r>
          </w:p>
        </w:tc>
        <w:tc>
          <w:tcPr>
            <w:tcW w:type="dxa" w:w="3024"/>
          </w:tcPr>
          <w:p>
            <w:pPr>
              <w:spacing w:line="360" w:lineRule="auto" w:before="0" w:after="0"/>
              <w:jc w:val="center"/>
            </w:pPr>
            <w:r>
              <w:rPr>
                <w:rFonts w:ascii="Times New Roman" w:hAnsi="Times New Roman" w:cs="Times New Roman" w:eastAsia="Times New Roman"/>
                <w:b w:val="0"/>
                <w:i w:val="0"/>
                <w:sz w:val="18"/>
                <w:u w:val="none"/>
              </w:rPr>
              <w:t>ML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n_estimators=400; lr=0,05</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LightGBM</w:t>
            </w:r>
          </w:p>
        </w:tc>
        <w:tc>
          <w:tcPr>
            <w:tcW w:type="dxa" w:w="3024"/>
          </w:tcPr>
          <w:p>
            <w:pPr>
              <w:spacing w:line="360" w:lineRule="auto" w:before="0" w:after="0"/>
              <w:jc w:val="center"/>
            </w:pPr>
            <w:r>
              <w:rPr>
                <w:rFonts w:ascii="Times New Roman" w:hAnsi="Times New Roman" w:cs="Times New Roman" w:eastAsia="Times New Roman"/>
                <w:b w:val="0"/>
                <w:i w:val="0"/>
                <w:sz w:val="18"/>
                <w:u w:val="none"/>
              </w:rPr>
              <w:t>ML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n_estimators=400; lr=0,05; num_leaves=31</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Derin ÇKA</w:t>
            </w:r>
          </w:p>
        </w:tc>
        <w:tc>
          <w:tcPr>
            <w:tcW w:type="dxa" w:w="3024"/>
          </w:tcPr>
          <w:p>
            <w:pPr>
              <w:spacing w:line="360" w:lineRule="auto" w:before="0" w:after="0"/>
              <w:jc w:val="center"/>
            </w:pPr>
            <w:r>
              <w:rPr>
                <w:rFonts w:ascii="Times New Roman" w:hAnsi="Times New Roman" w:cs="Times New Roman" w:eastAsia="Times New Roman"/>
                <w:b w:val="0"/>
                <w:i w:val="0"/>
                <w:sz w:val="18"/>
                <w:u w:val="none"/>
              </w:rPr>
              <w:t>DL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512-256-128-64; BatchNorm</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1B-ESA</w:t>
            </w:r>
          </w:p>
        </w:tc>
        <w:tc>
          <w:tcPr>
            <w:tcW w:type="dxa" w:w="3024"/>
          </w:tcPr>
          <w:p>
            <w:pPr>
              <w:spacing w:line="360" w:lineRule="auto" w:before="0" w:after="0"/>
              <w:jc w:val="center"/>
            </w:pPr>
            <w:r>
              <w:rPr>
                <w:rFonts w:ascii="Times New Roman" w:hAnsi="Times New Roman" w:cs="Times New Roman" w:eastAsia="Times New Roman"/>
                <w:b w:val="0"/>
                <w:i w:val="0"/>
                <w:sz w:val="18"/>
                <w:u w:val="none"/>
              </w:rPr>
              <w:t>DL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Conv1D + max-pool</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Artık ÇKA</w:t>
            </w:r>
          </w:p>
        </w:tc>
        <w:tc>
          <w:tcPr>
            <w:tcW w:type="dxa" w:w="3024"/>
          </w:tcPr>
          <w:p>
            <w:pPr>
              <w:spacing w:line="360" w:lineRule="auto" w:before="0" w:after="0"/>
              <w:jc w:val="center"/>
            </w:pPr>
            <w:r>
              <w:rPr>
                <w:rFonts w:ascii="Times New Roman" w:hAnsi="Times New Roman" w:cs="Times New Roman" w:eastAsia="Times New Roman"/>
                <w:b w:val="0"/>
                <w:i w:val="0"/>
                <w:sz w:val="18"/>
                <w:u w:val="none"/>
              </w:rPr>
              <w:t>DL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3 blok; 256-256</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Dikkat ÇKA</w:t>
            </w:r>
          </w:p>
        </w:tc>
        <w:tc>
          <w:tcPr>
            <w:tcW w:type="dxa" w:w="3024"/>
          </w:tcPr>
          <w:p>
            <w:pPr>
              <w:spacing w:line="360" w:lineRule="auto" w:before="0" w:after="0"/>
              <w:jc w:val="center"/>
            </w:pPr>
            <w:r>
              <w:rPr>
                <w:rFonts w:ascii="Times New Roman" w:hAnsi="Times New Roman" w:cs="Times New Roman" w:eastAsia="Times New Roman"/>
                <w:b w:val="0"/>
                <w:i w:val="0"/>
                <w:sz w:val="18"/>
                <w:u w:val="none"/>
              </w:rPr>
              <w:t>DL</w:t>
            </w:r>
          </w:p>
        </w:tc>
        <w:tc>
          <w:tcPr>
            <w:tcW w:type="dxa" w:w="3024"/>
          </w:tcPr>
          <w:p>
            <w:pPr>
              <w:spacing w:line="360" w:lineRule="auto" w:before="0" w:after="0"/>
              <w:jc w:val="center"/>
            </w:pPr>
            <w:r>
              <w:rPr>
                <w:rFonts w:ascii="Times New Roman" w:hAnsi="Times New Roman" w:cs="Times New Roman" w:eastAsia="Times New Roman"/>
                <w:b w:val="0"/>
                <w:i w:val="0"/>
                <w:sz w:val="18"/>
                <w:u w:val="none"/>
              </w:rPr>
              <w:t>Öz-dikkat; 4 baş</w:t>
            </w:r>
          </w:p>
        </w:tc>
      </w:tr>
    </w:tbl>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2.4. Eğitim protokolü ve karar eşiği optimizasyonu </w:t>
      </w:r>
      <w:r>
        <w:rPr>
          <w:rFonts w:ascii="Times New Roman" w:hAnsi="Times New Roman" w:cs="Times New Roman" w:eastAsia="Times New Roman"/>
          <w:b/>
          <w:i w:val="0"/>
          <w:sz w:val="16"/>
          <w:u w:val="none"/>
        </w:rPr>
        <w:t>(Training protocol and decision threshold optimisation)</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3. Sonuçlar ve Tartışmalar </w:t>
      </w:r>
      <w:r>
        <w:rPr>
          <w:rFonts w:ascii="Times New Roman" w:hAnsi="Times New Roman" w:cs="Times New Roman" w:eastAsia="Times New Roman"/>
          <w:b/>
          <w:i w:val="0"/>
          <w:sz w:val="16"/>
          <w:u w:val="none"/>
        </w:rPr>
        <w:t>(Results and Discussions)</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pPr>
        <w:spacing w:line="360" w:lineRule="auto" w:before="0" w:after="0"/>
      </w:pPr>
    </w:p>
    <w:p>
      <w:pPr>
        <w:spacing w:line="360" w:lineRule="auto" w:before="0" w:after="0"/>
        <w:jc w:val="center"/>
      </w:pPr>
      <w:r>
        <w:rPr>
          <w:rFonts w:ascii="Times New Roman" w:hAnsi="Times New Roman" w:cs="Times New Roman" w:eastAsia="Times New Roman"/>
          <w:b w:val="0"/>
          <w:i w:val="0"/>
          <w:sz w:val="18"/>
          <w:u w:val="none"/>
        </w:rPr>
        <w:t xml:space="preserve">Tablo 3. 5-katlı çapraz doğrulama sonuçları </w:t>
      </w:r>
      <w:r>
        <w:rPr>
          <w:rFonts w:ascii="Times New Roman" w:hAnsi="Times New Roman" w:cs="Times New Roman" w:eastAsia="Times New Roman"/>
          <w:b/>
          <w:i w:val="0"/>
          <w:sz w:val="16"/>
          <w:u w:val="none"/>
        </w:rPr>
        <w:t>(5-fold cross-validation results)</w:t>
      </w:r>
    </w:p>
    <w:tbl>
      <w:tblPr>
        <w:tblStyle w:val="TabloKlavuzu"/>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360" w:lineRule="auto" w:before="0" w:after="0"/>
              <w:jc w:val="center"/>
            </w:pPr>
            <w:r>
              <w:rPr>
                <w:rFonts w:ascii="Times New Roman" w:hAnsi="Times New Roman" w:cs="Times New Roman" w:eastAsia="Times New Roman"/>
                <w:b w:val="0"/>
                <w:i w:val="0"/>
                <w:sz w:val="18"/>
                <w:u w:val="none"/>
              </w:rPr>
              <w:t>Sıra</w:t>
            </w:r>
          </w:p>
        </w:tc>
        <w:tc>
          <w:tcPr>
            <w:tcW w:type="dxa" w:w="1296"/>
          </w:tcPr>
          <w:p>
            <w:pPr>
              <w:spacing w:line="360" w:lineRule="auto" w:before="0" w:after="0"/>
              <w:jc w:val="center"/>
            </w:pPr>
            <w:r>
              <w:rPr>
                <w:rFonts w:ascii="Times New Roman" w:hAnsi="Times New Roman" w:cs="Times New Roman" w:eastAsia="Times New Roman"/>
                <w:b w:val="0"/>
                <w:i w:val="0"/>
                <w:sz w:val="18"/>
                <w:u w:val="none"/>
              </w:rPr>
              <w:t>Model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Tip</w:t>
            </w:r>
          </w:p>
        </w:tc>
        <w:tc>
          <w:tcPr>
            <w:tcW w:type="dxa" w:w="1296"/>
          </w:tcPr>
          <w:p>
            <w:pPr>
              <w:spacing w:line="360" w:lineRule="auto" w:before="0" w:after="0"/>
              <w:jc w:val="center"/>
            </w:pPr>
            <w:r>
              <w:rPr>
                <w:rFonts w:ascii="Times New Roman" w:hAnsi="Times New Roman" w:cs="Times New Roman" w:eastAsia="Times New Roman"/>
                <w:b w:val="0"/>
                <w:i w:val="0"/>
                <w:sz w:val="18"/>
                <w:u w:val="none"/>
              </w:rPr>
              <w:t>Doğruluk</w:t>
            </w:r>
          </w:p>
        </w:tc>
        <w:tc>
          <w:tcPr>
            <w:tcW w:type="dxa" w:w="1296"/>
          </w:tcPr>
          <w:p>
            <w:pPr>
              <w:spacing w:line="360" w:lineRule="auto" w:before="0" w:after="0"/>
              <w:jc w:val="center"/>
            </w:pPr>
            <w:r>
              <w:rPr>
                <w:rFonts w:ascii="Times New Roman" w:hAnsi="Times New Roman" w:cs="Times New Roman" w:eastAsia="Times New Roman"/>
                <w:b w:val="0"/>
                <w:i w:val="0"/>
                <w:sz w:val="18"/>
                <w:u w:val="none"/>
              </w:rPr>
              <w:t>F1</w:t>
            </w:r>
          </w:p>
        </w:tc>
        <w:tc>
          <w:tcPr>
            <w:tcW w:type="dxa" w:w="1296"/>
          </w:tcPr>
          <w:p>
            <w:pPr>
              <w:spacing w:line="360" w:lineRule="auto" w:before="0" w:after="0"/>
              <w:jc w:val="center"/>
            </w:pPr>
            <w:r>
              <w:rPr>
                <w:rFonts w:ascii="Times New Roman" w:hAnsi="Times New Roman" w:cs="Times New Roman" w:eastAsia="Times New Roman"/>
                <w:b w:val="0"/>
                <w:i w:val="0"/>
                <w:sz w:val="18"/>
                <w:u w:val="none"/>
              </w:rPr>
              <w:t>ROC-AUC</w:t>
            </w:r>
          </w:p>
        </w:tc>
        <w:tc>
          <w:tcPr>
            <w:tcW w:type="dxa" w:w="1296"/>
          </w:tcPr>
          <w:p>
            <w:pPr>
              <w:spacing w:line="360" w:lineRule="auto" w:before="0" w:after="0"/>
              <w:jc w:val="center"/>
            </w:pPr>
            <w:r>
              <w:rPr>
                <w:rFonts w:ascii="Times New Roman" w:hAnsi="Times New Roman" w:cs="Times New Roman" w:eastAsia="Times New Roman"/>
                <w:b w:val="0"/>
                <w:i w:val="0"/>
                <w:sz w:val="18"/>
                <w:u w:val="none"/>
              </w:rPr>
              <w:t>θ*</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1</w:t>
            </w:r>
          </w:p>
        </w:tc>
        <w:tc>
          <w:tcPr>
            <w:tcW w:type="dxa" w:w="1296"/>
          </w:tcPr>
          <w:p>
            <w:pPr>
              <w:spacing w:line="360" w:lineRule="auto" w:before="0" w:after="0"/>
              <w:jc w:val="center"/>
            </w:pPr>
            <w:r>
              <w:rPr>
                <w:rFonts w:ascii="Times New Roman" w:hAnsi="Times New Roman" w:cs="Times New Roman" w:eastAsia="Times New Roman"/>
                <w:b w:val="0"/>
                <w:i w:val="0"/>
                <w:sz w:val="18"/>
                <w:u w:val="none"/>
              </w:rPr>
              <w:t>LightGBM</w:t>
            </w:r>
          </w:p>
        </w:tc>
        <w:tc>
          <w:tcPr>
            <w:tcW w:type="dxa" w:w="1296"/>
          </w:tcPr>
          <w:p>
            <w:pPr>
              <w:spacing w:line="360" w:lineRule="auto" w:before="0" w:after="0"/>
              <w:jc w:val="center"/>
            </w:pPr>
            <w:r>
              <w:rPr>
                <w:rFonts w:ascii="Times New Roman" w:hAnsi="Times New Roman" w:cs="Times New Roman" w:eastAsia="Times New Roman"/>
                <w:b w:val="0"/>
                <w:i w:val="0"/>
                <w:sz w:val="18"/>
                <w:u w:val="none"/>
              </w:rPr>
              <w:t>ML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0,8839</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0,8575</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0,9548</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0,4316</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2</w:t>
            </w:r>
          </w:p>
        </w:tc>
        <w:tc>
          <w:tcPr>
            <w:tcW w:type="dxa" w:w="1296"/>
          </w:tcPr>
          <w:p>
            <w:pPr>
              <w:spacing w:line="360" w:lineRule="auto" w:before="0" w:after="0"/>
              <w:jc w:val="center"/>
            </w:pPr>
            <w:r>
              <w:rPr>
                <w:rFonts w:ascii="Times New Roman" w:hAnsi="Times New Roman" w:cs="Times New Roman" w:eastAsia="Times New Roman"/>
                <w:b w:val="0"/>
                <w:i w:val="0"/>
                <w:sz w:val="18"/>
                <w:u w:val="none"/>
              </w:rPr>
              <w:t>Derin ÇKA</w:t>
            </w:r>
          </w:p>
        </w:tc>
        <w:tc>
          <w:tcPr>
            <w:tcW w:type="dxa" w:w="1296"/>
          </w:tcPr>
          <w:p>
            <w:pPr>
              <w:spacing w:line="360" w:lineRule="auto" w:before="0" w:after="0"/>
              <w:jc w:val="center"/>
            </w:pPr>
            <w:r>
              <w:rPr>
                <w:rFonts w:ascii="Times New Roman" w:hAnsi="Times New Roman" w:cs="Times New Roman" w:eastAsia="Times New Roman"/>
                <w:b w:val="0"/>
                <w:i w:val="0"/>
                <w:sz w:val="18"/>
                <w:u w:val="none"/>
              </w:rPr>
              <w:t>DL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0,8849</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0,8596</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0,9542</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3</w:t>
            </w:r>
          </w:p>
        </w:tc>
        <w:tc>
          <w:tcPr>
            <w:tcW w:type="dxa" w:w="1296"/>
          </w:tcPr>
          <w:p>
            <w:pPr>
              <w:spacing w:line="360" w:lineRule="auto" w:before="0" w:after="0"/>
              <w:jc w:val="center"/>
            </w:pPr>
            <w:r>
              <w:rPr>
                <w:rFonts w:ascii="Times New Roman" w:hAnsi="Times New Roman" w:cs="Times New Roman" w:eastAsia="Times New Roman"/>
                <w:b w:val="0"/>
                <w:i w:val="0"/>
                <w:sz w:val="18"/>
                <w:u w:val="none"/>
              </w:rPr>
              <w:t>Artık ÇKA</w:t>
            </w:r>
          </w:p>
        </w:tc>
        <w:tc>
          <w:tcPr>
            <w:tcW w:type="dxa" w:w="1296"/>
          </w:tcPr>
          <w:p>
            <w:pPr>
              <w:spacing w:line="360" w:lineRule="auto" w:before="0" w:after="0"/>
              <w:jc w:val="center"/>
            </w:pPr>
            <w:r>
              <w:rPr>
                <w:rFonts w:ascii="Times New Roman" w:hAnsi="Times New Roman" w:cs="Times New Roman" w:eastAsia="Times New Roman"/>
                <w:b w:val="0"/>
                <w:i w:val="0"/>
                <w:sz w:val="18"/>
                <w:u w:val="none"/>
              </w:rPr>
              <w:t>DL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0,8756</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0,8476</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0,9485</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4</w:t>
            </w:r>
          </w:p>
        </w:tc>
        <w:tc>
          <w:tcPr>
            <w:tcW w:type="dxa" w:w="1296"/>
          </w:tcPr>
          <w:p>
            <w:pPr>
              <w:spacing w:line="360" w:lineRule="auto" w:before="0" w:after="0"/>
              <w:jc w:val="center"/>
            </w:pPr>
            <w:r>
              <w:rPr>
                <w:rFonts w:ascii="Times New Roman" w:hAnsi="Times New Roman" w:cs="Times New Roman" w:eastAsia="Times New Roman"/>
                <w:b w:val="0"/>
                <w:i w:val="0"/>
                <w:sz w:val="18"/>
                <w:u w:val="none"/>
              </w:rPr>
              <w:t>XGBoost</w:t>
            </w:r>
          </w:p>
        </w:tc>
        <w:tc>
          <w:tcPr>
            <w:tcW w:type="dxa" w:w="1296"/>
          </w:tcPr>
          <w:p>
            <w:pPr>
              <w:spacing w:line="360" w:lineRule="auto" w:before="0" w:after="0"/>
              <w:jc w:val="center"/>
            </w:pPr>
            <w:r>
              <w:rPr>
                <w:rFonts w:ascii="Times New Roman" w:hAnsi="Times New Roman" w:cs="Times New Roman" w:eastAsia="Times New Roman"/>
                <w:b w:val="0"/>
                <w:i w:val="0"/>
                <w:sz w:val="18"/>
                <w:u w:val="none"/>
              </w:rPr>
              <w:t>ML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0,8751</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0,8408</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0,9465</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5</w:t>
            </w:r>
          </w:p>
        </w:tc>
        <w:tc>
          <w:tcPr>
            <w:tcW w:type="dxa" w:w="1296"/>
          </w:tcPr>
          <w:p>
            <w:pPr>
              <w:spacing w:line="360" w:lineRule="auto" w:before="0" w:after="0"/>
              <w:jc w:val="center"/>
            </w:pPr>
            <w:r>
              <w:rPr>
                <w:rFonts w:ascii="Times New Roman" w:hAnsi="Times New Roman" w:cs="Times New Roman" w:eastAsia="Times New Roman"/>
                <w:b w:val="0"/>
                <w:i w:val="0"/>
                <w:sz w:val="18"/>
                <w:u w:val="none"/>
              </w:rPr>
              <w:t>Gradyan Artırma</w:t>
            </w:r>
          </w:p>
        </w:tc>
        <w:tc>
          <w:tcPr>
            <w:tcW w:type="dxa" w:w="1296"/>
          </w:tcPr>
          <w:p>
            <w:pPr>
              <w:spacing w:line="360" w:lineRule="auto" w:before="0" w:after="0"/>
              <w:jc w:val="center"/>
            </w:pPr>
            <w:r>
              <w:rPr>
                <w:rFonts w:ascii="Times New Roman" w:hAnsi="Times New Roman" w:cs="Times New Roman" w:eastAsia="Times New Roman"/>
                <w:b w:val="0"/>
                <w:i w:val="0"/>
                <w:sz w:val="18"/>
                <w:u w:val="none"/>
              </w:rPr>
              <w:t>ML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0,8685</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0,8337</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0,9397</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6</w:t>
            </w:r>
          </w:p>
        </w:tc>
        <w:tc>
          <w:tcPr>
            <w:tcW w:type="dxa" w:w="1296"/>
          </w:tcPr>
          <w:p>
            <w:pPr>
              <w:spacing w:line="360" w:lineRule="auto" w:before="0" w:after="0"/>
              <w:jc w:val="center"/>
            </w:pPr>
            <w:r>
              <w:rPr>
                <w:rFonts w:ascii="Times New Roman" w:hAnsi="Times New Roman" w:cs="Times New Roman" w:eastAsia="Times New Roman"/>
                <w:b w:val="0"/>
                <w:i w:val="0"/>
                <w:sz w:val="18"/>
                <w:u w:val="none"/>
              </w:rPr>
              <w:t>Rastgele Orman</w:t>
            </w:r>
          </w:p>
        </w:tc>
        <w:tc>
          <w:tcPr>
            <w:tcW w:type="dxa" w:w="1296"/>
          </w:tcPr>
          <w:p>
            <w:pPr>
              <w:spacing w:line="360" w:lineRule="auto" w:before="0" w:after="0"/>
              <w:jc w:val="center"/>
            </w:pPr>
            <w:r>
              <w:rPr>
                <w:rFonts w:ascii="Times New Roman" w:hAnsi="Times New Roman" w:cs="Times New Roman" w:eastAsia="Times New Roman"/>
                <w:b w:val="0"/>
                <w:i w:val="0"/>
                <w:sz w:val="18"/>
                <w:u w:val="none"/>
              </w:rPr>
              <w:t>ML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0,8606</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0,8183</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0,9394</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7</w:t>
            </w:r>
          </w:p>
        </w:tc>
        <w:tc>
          <w:tcPr>
            <w:tcW w:type="dxa" w:w="1296"/>
          </w:tcPr>
          <w:p>
            <w:pPr>
              <w:spacing w:line="360" w:lineRule="auto" w:before="0" w:after="0"/>
              <w:jc w:val="center"/>
            </w:pPr>
            <w:r>
              <w:rPr>
                <w:rFonts w:ascii="Times New Roman" w:hAnsi="Times New Roman" w:cs="Times New Roman" w:eastAsia="Times New Roman"/>
                <w:b w:val="0"/>
                <w:i w:val="0"/>
                <w:sz w:val="18"/>
                <w:u w:val="none"/>
              </w:rPr>
              <w:t>Dikkat ÇKA</w:t>
            </w:r>
          </w:p>
        </w:tc>
        <w:tc>
          <w:tcPr>
            <w:tcW w:type="dxa" w:w="1296"/>
          </w:tcPr>
          <w:p>
            <w:pPr>
              <w:spacing w:line="360" w:lineRule="auto" w:before="0" w:after="0"/>
              <w:jc w:val="center"/>
            </w:pPr>
            <w:r>
              <w:rPr>
                <w:rFonts w:ascii="Times New Roman" w:hAnsi="Times New Roman" w:cs="Times New Roman" w:eastAsia="Times New Roman"/>
                <w:b w:val="0"/>
                <w:i w:val="0"/>
                <w:sz w:val="18"/>
                <w:u w:val="none"/>
              </w:rPr>
              <w:t>DL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0,8628</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0,8293</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0,9359</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8</w:t>
            </w:r>
          </w:p>
        </w:tc>
        <w:tc>
          <w:tcPr>
            <w:tcW w:type="dxa" w:w="1296"/>
          </w:tcPr>
          <w:p>
            <w:pPr>
              <w:spacing w:line="360" w:lineRule="auto" w:before="0" w:after="0"/>
              <w:jc w:val="center"/>
            </w:pPr>
            <w:r>
              <w:rPr>
                <w:rFonts w:ascii="Times New Roman" w:hAnsi="Times New Roman" w:cs="Times New Roman" w:eastAsia="Times New Roman"/>
                <w:b w:val="0"/>
                <w:i w:val="0"/>
                <w:sz w:val="18"/>
                <w:u w:val="none"/>
              </w:rPr>
              <w:t>SVM-RBF</w:t>
            </w:r>
          </w:p>
        </w:tc>
        <w:tc>
          <w:tcPr>
            <w:tcW w:type="dxa" w:w="1296"/>
          </w:tcPr>
          <w:p>
            <w:pPr>
              <w:spacing w:line="360" w:lineRule="auto" w:before="0" w:after="0"/>
              <w:jc w:val="center"/>
            </w:pPr>
            <w:r>
              <w:rPr>
                <w:rFonts w:ascii="Times New Roman" w:hAnsi="Times New Roman" w:cs="Times New Roman" w:eastAsia="Times New Roman"/>
                <w:b w:val="0"/>
                <w:i w:val="0"/>
                <w:sz w:val="18"/>
                <w:u w:val="none"/>
              </w:rPr>
              <w:t>ML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0,8612</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0,8252</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0,9346</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9</w:t>
            </w:r>
          </w:p>
        </w:tc>
        <w:tc>
          <w:tcPr>
            <w:tcW w:type="dxa" w:w="1296"/>
          </w:tcPr>
          <w:p>
            <w:pPr>
              <w:spacing w:line="360" w:lineRule="auto" w:before="0" w:after="0"/>
              <w:jc w:val="center"/>
            </w:pPr>
            <w:r>
              <w:rPr>
                <w:rFonts w:ascii="Times New Roman" w:hAnsi="Times New Roman" w:cs="Times New Roman" w:eastAsia="Times New Roman"/>
                <w:b w:val="0"/>
                <w:i w:val="0"/>
                <w:sz w:val="18"/>
                <w:u w:val="none"/>
              </w:rPr>
              <w:t>ÇKA Sinir Ağı</w:t>
            </w:r>
          </w:p>
        </w:tc>
        <w:tc>
          <w:tcPr>
            <w:tcW w:type="dxa" w:w="1296"/>
          </w:tcPr>
          <w:p>
            <w:pPr>
              <w:spacing w:line="360" w:lineRule="auto" w:before="0" w:after="0"/>
              <w:jc w:val="center"/>
            </w:pPr>
            <w:r>
              <w:rPr>
                <w:rFonts w:ascii="Times New Roman" w:hAnsi="Times New Roman" w:cs="Times New Roman" w:eastAsia="Times New Roman"/>
                <w:b w:val="0"/>
                <w:i w:val="0"/>
                <w:sz w:val="18"/>
                <w:u w:val="none"/>
              </w:rPr>
              <w:t>ML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0,8566</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0,8189</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0,9276</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10</w:t>
            </w:r>
          </w:p>
        </w:tc>
        <w:tc>
          <w:tcPr>
            <w:tcW w:type="dxa" w:w="1296"/>
          </w:tcPr>
          <w:p>
            <w:pPr>
              <w:spacing w:line="360" w:lineRule="auto" w:before="0" w:after="0"/>
              <w:jc w:val="center"/>
            </w:pPr>
            <w:r>
              <w:rPr>
                <w:rFonts w:ascii="Times New Roman" w:hAnsi="Times New Roman" w:cs="Times New Roman" w:eastAsia="Times New Roman"/>
                <w:b w:val="0"/>
                <w:i w:val="0"/>
                <w:sz w:val="18"/>
                <w:u w:val="none"/>
              </w:rPr>
              <w:t>1B-ESA</w:t>
            </w:r>
          </w:p>
        </w:tc>
        <w:tc>
          <w:tcPr>
            <w:tcW w:type="dxa" w:w="1296"/>
          </w:tcPr>
          <w:p>
            <w:pPr>
              <w:spacing w:line="360" w:lineRule="auto" w:before="0" w:after="0"/>
              <w:jc w:val="center"/>
            </w:pPr>
            <w:r>
              <w:rPr>
                <w:rFonts w:ascii="Times New Roman" w:hAnsi="Times New Roman" w:cs="Times New Roman" w:eastAsia="Times New Roman"/>
                <w:b w:val="0"/>
                <w:i w:val="0"/>
                <w:sz w:val="18"/>
                <w:u w:val="none"/>
              </w:rPr>
              <w:t>DL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0,7665</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0,7159</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0,8543</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r>
        <w:tc>
          <w:tcPr>
            <w:tcW w:type="dxa" w:w="1296"/>
          </w:tcPr>
          <w:p>
            <w:pPr>
              <w:spacing w:line="360" w:lineRule="auto" w:before="0" w:after="0"/>
              <w:jc w:val="center"/>
            </w:pPr>
            <w:r>
              <w:rPr>
                <w:rFonts w:ascii="Times New Roman" w:hAnsi="Times New Roman" w:cs="Times New Roman" w:eastAsia="Times New Roman"/>
                <w:b w:val="0"/>
                <w:i w:val="0"/>
                <w:sz w:val="18"/>
                <w:u w:val="none"/>
              </w:rPr>
              <w:t>11</w:t>
            </w:r>
          </w:p>
        </w:tc>
        <w:tc>
          <w:tcPr>
            <w:tcW w:type="dxa" w:w="1296"/>
          </w:tcPr>
          <w:p>
            <w:pPr>
              <w:spacing w:line="360" w:lineRule="auto" w:before="0" w:after="0"/>
              <w:jc w:val="center"/>
            </w:pPr>
            <w:r>
              <w:rPr>
                <w:rFonts w:ascii="Times New Roman" w:hAnsi="Times New Roman" w:cs="Times New Roman" w:eastAsia="Times New Roman"/>
                <w:b w:val="0"/>
                <w:i w:val="0"/>
                <w:sz w:val="18"/>
                <w:u w:val="none"/>
              </w:rPr>
              <w:t>Lojistik Regresyon</w:t>
            </w:r>
          </w:p>
        </w:tc>
        <w:tc>
          <w:tcPr>
            <w:tcW w:type="dxa" w:w="1296"/>
          </w:tcPr>
          <w:p>
            <w:pPr>
              <w:spacing w:line="360" w:lineRule="auto" w:before="0" w:after="0"/>
              <w:jc w:val="center"/>
            </w:pPr>
            <w:r>
              <w:rPr>
                <w:rFonts w:ascii="Times New Roman" w:hAnsi="Times New Roman" w:cs="Times New Roman" w:eastAsia="Times New Roman"/>
                <w:b w:val="0"/>
                <w:i w:val="0"/>
                <w:sz w:val="18"/>
                <w:u w:val="none"/>
              </w:rPr>
              <w:t>ML</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0,7779</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0,7390</w:t>
            </w:r>
          </w:p>
        </w:tc>
        <w:tc>
          <w:tcPr>
            <w:tcW w:type="dxa" w:w="1296"/>
          </w:tcPr>
          <w:p>
            <w:pPr>
              <w:spacing w:line="360" w:lineRule="auto" w:before="0" w:after="0"/>
              <w:jc w:val="center"/>
            </w:pPr>
            <w:r>
              <w:rPr>
                <w:rFonts w:ascii="Times New Roman" w:hAnsi="Times New Roman" w:cs="Times New Roman" w:eastAsia="Times New Roman"/>
                <w:b w:val="0"/>
                <w:i w:val="0"/>
                <w:sz w:val="18"/>
                <w:u w:val="none"/>
              </w:rPr>
              <w:t>0,8515</w:t>
            </w:r>
          </w:p>
        </w:tc>
        <w:tc>
          <w:tcPr>
            <w:tcW w:type="dxa" w:w="1296"/>
          </w:tcPr>
          <w:p>
            <w:pPr>
              <w:spacing w:line="360" w:lineRule="auto" w:before="0" w:after="0"/>
              <w:jc w:val="center"/>
            </w:pPr>
            <w:r>
              <w:rPr>
                <w:rFonts w:ascii="Times New Roman" w:hAnsi="Times New Roman" w:cs="Times New Roman" w:eastAsia="Times New Roman"/>
                <w:b w:val="0"/>
                <w:i w:val="0"/>
                <w:sz w:val="18"/>
                <w:u w:val="none"/>
              </w:rPr>
              <w:t>—</w:t>
            </w:r>
          </w:p>
        </w:tc>
      </w:tr>
    </w:tbl>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5400000" cy="2671127"/>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0"/>
                    <a:stretch>
                      <a:fillRect/>
                    </a:stretch>
                  </pic:blipFill>
                  <pic:spPr>
                    <a:xfrm>
                      <a:off x="0" y="0"/>
                      <a:ext cx="5400000" cy="2671127"/>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3. On bir modelin performans karşılaştırması. </w:t>
      </w:r>
      <w:r>
        <w:rPr>
          <w:rFonts w:ascii="Times New Roman" w:hAnsi="Times New Roman" w:cs="Times New Roman" w:eastAsia="Times New Roman"/>
          <w:b/>
          <w:i w:val="0"/>
          <w:sz w:val="16"/>
          <w:u w:val="none"/>
        </w:rPr>
        <w:t>(Performance comparison of the eleven models.)</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4320000" cy="3612040"/>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1"/>
                    <a:stretch>
                      <a:fillRect/>
                    </a:stretch>
                  </pic:blipFill>
                  <pic:spPr>
                    <a:xfrm>
                      <a:off x="0" y="0"/>
                      <a:ext cx="4320000" cy="3612040"/>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4. Yedi makine öğrenmesi modelinin ROC eğrileri. </w:t>
      </w:r>
      <w:r>
        <w:rPr>
          <w:rFonts w:ascii="Times New Roman" w:hAnsi="Times New Roman" w:cs="Times New Roman" w:eastAsia="Times New Roman"/>
          <w:b/>
          <w:i w:val="0"/>
          <w:sz w:val="16"/>
          <w:u w:val="none"/>
        </w:rPr>
        <w:t>(ROC curves of the seven machine learning models.)</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5400000" cy="1939518"/>
            <wp:docPr id="6" name="Picture 6"/>
            <wp:cNvGraphicFramePr>
              <a:graphicFrameLocks noChangeAspect="1"/>
            </wp:cNvGraphicFramePr>
            <a:graphic>
              <a:graphicData uri="http://schemas.openxmlformats.org/drawingml/2006/picture">
                <pic:pic>
                  <pic:nvPicPr>
                    <pic:cNvPr id="0" name="paper_ml_vs_dl.png"/>
                    <pic:cNvPicPr/>
                  </pic:nvPicPr>
                  <pic:blipFill>
                    <a:blip r:embed="rId12"/>
                    <a:stretch>
                      <a:fillRect/>
                    </a:stretch>
                  </pic:blipFill>
                  <pic:spPr>
                    <a:xfrm>
                      <a:off x="0" y="0"/>
                      <a:ext cx="5400000" cy="1939518"/>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5. Makine öğrenmesi ile derin öğrenme ailelerinin karşılaştırması. </w:t>
      </w:r>
      <w:r>
        <w:rPr>
          <w:rFonts w:ascii="Times New Roman" w:hAnsi="Times New Roman" w:cs="Times New Roman" w:eastAsia="Times New Roman"/>
          <w:b/>
          <w:i w:val="0"/>
          <w:sz w:val="16"/>
          <w:u w:val="none"/>
        </w:rPr>
        <w:t>(Comparison of machine learning and deep learning families.)</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5400000" cy="3059182"/>
            <wp:docPr id="7" name="Picture 7"/>
            <wp:cNvGraphicFramePr>
              <a:graphicFrameLocks noChangeAspect="1"/>
            </wp:cNvGraphicFramePr>
            <a:graphic>
              <a:graphicData uri="http://schemas.openxmlformats.org/drawingml/2006/picture">
                <pic:pic>
                  <pic:nvPicPr>
                    <pic:cNvPr id="0" name="paper_fold_std_table.png"/>
                    <pic:cNvPicPr/>
                  </pic:nvPicPr>
                  <pic:blipFill>
                    <a:blip r:embed="rId13"/>
                    <a:stretch>
                      <a:fillRect/>
                    </a:stretch>
                  </pic:blipFill>
                  <pic:spPr>
                    <a:xfrm>
                      <a:off x="0" y="0"/>
                      <a:ext cx="5400000" cy="3059182"/>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6. On bir modelin kat bazlı ROC-AUC değerleri. </w:t>
      </w:r>
      <w:r>
        <w:rPr>
          <w:rFonts w:ascii="Times New Roman" w:hAnsi="Times New Roman" w:cs="Times New Roman" w:eastAsia="Times New Roman"/>
          <w:b/>
          <w:i w:val="0"/>
          <w:sz w:val="16"/>
          <w:u w:val="none"/>
        </w:rPr>
        <w:t>(Per-fold ROC-AUC values for the eleven models.)</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Öznitelik önemi analizi sonuçları spektral düzlük standart sapması özniteliğinin yapay zekâ ile insan müziği ayrımı için en bilgilendirici öznitelik olduğunu açık biçimde ortaya koymuştur. Tablo 4 ilk on özniteliği listelemektedir. Şekil 7 ilk yirmi özniteliğin normalize edilmiş önem skorlarını göstermektedir.</w:t>
      </w:r>
    </w:p>
    <w:p>
      <w:pPr>
        <w:spacing w:line="360" w:lineRule="auto" w:before="0" w:after="0"/>
      </w:pPr>
    </w:p>
    <w:p>
      <w:pPr>
        <w:spacing w:line="360" w:lineRule="auto" w:before="0" w:after="0"/>
        <w:jc w:val="center"/>
      </w:pPr>
      <w:r>
        <w:rPr>
          <w:rFonts w:ascii="Times New Roman" w:hAnsi="Times New Roman" w:cs="Times New Roman" w:eastAsia="Times New Roman"/>
          <w:b w:val="0"/>
          <w:i w:val="0"/>
          <w:sz w:val="18"/>
          <w:u w:val="none"/>
        </w:rPr>
        <w:t xml:space="preserve">Tablo 4. LightGBM'in ilk on özniteliği </w:t>
      </w:r>
      <w:r>
        <w:rPr>
          <w:rFonts w:ascii="Times New Roman" w:hAnsi="Times New Roman" w:cs="Times New Roman" w:eastAsia="Times New Roman"/>
          <w:b/>
          <w:i w:val="0"/>
          <w:sz w:val="16"/>
          <w:u w:val="none"/>
        </w:rPr>
        <w:t>(Top ten features of LightGBM)</w:t>
      </w:r>
    </w:p>
    <w:tbl>
      <w:tblPr>
        <w:tblStyle w:val="TabloKlavuzu"/>
        <w:tblW w:type="auto" w:w="0"/>
        <w:tblLook w:firstColumn="1" w:firstRow="1" w:lastColumn="0" w:lastRow="0" w:noHBand="0" w:noVBand="1" w:val="04A0"/>
      </w:tblPr>
      <w:tblGrid>
        <w:gridCol w:w="3024"/>
        <w:gridCol w:w="3024"/>
        <w:gridCol w:w="3024"/>
      </w:tblGrid>
      <w:tr>
        <w:tc>
          <w:tcPr>
            <w:tcW w:type="dxa" w:w="3024"/>
          </w:tcPr>
          <w:p>
            <w:pPr>
              <w:spacing w:line="360" w:lineRule="auto" w:before="0" w:after="0"/>
              <w:jc w:val="center"/>
            </w:pPr>
            <w:r>
              <w:rPr>
                <w:rFonts w:ascii="Times New Roman" w:hAnsi="Times New Roman" w:cs="Times New Roman" w:eastAsia="Times New Roman"/>
                <w:b w:val="0"/>
                <w:i w:val="0"/>
                <w:sz w:val="18"/>
                <w:u w:val="none"/>
              </w:rPr>
              <w:t>Sıra</w:t>
            </w:r>
          </w:p>
        </w:tc>
        <w:tc>
          <w:tcPr>
            <w:tcW w:type="dxa" w:w="3024"/>
          </w:tcPr>
          <w:p>
            <w:pPr>
              <w:spacing w:line="360" w:lineRule="auto" w:before="0" w:after="0"/>
              <w:jc w:val="center"/>
            </w:pPr>
            <w:r>
              <w:rPr>
                <w:rFonts w:ascii="Times New Roman" w:hAnsi="Times New Roman" w:cs="Times New Roman" w:eastAsia="Times New Roman"/>
                <w:b w:val="0"/>
                <w:i w:val="0"/>
                <w:sz w:val="18"/>
                <w:u w:val="none"/>
              </w:rPr>
              <w:t>Öznitelik</w:t>
            </w:r>
          </w:p>
        </w:tc>
        <w:tc>
          <w:tcPr>
            <w:tcW w:type="dxa" w:w="3024"/>
          </w:tcPr>
          <w:p>
            <w:pPr>
              <w:spacing w:line="360" w:lineRule="auto" w:before="0" w:after="0"/>
              <w:jc w:val="center"/>
            </w:pPr>
            <w:r>
              <w:rPr>
                <w:rFonts w:ascii="Times New Roman" w:hAnsi="Times New Roman" w:cs="Times New Roman" w:eastAsia="Times New Roman"/>
                <w:b w:val="0"/>
                <w:i w:val="0"/>
                <w:sz w:val="18"/>
                <w:u w:val="none"/>
              </w:rPr>
              <w:t>Önem</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1</w:t>
            </w:r>
          </w:p>
        </w:tc>
        <w:tc>
          <w:tcPr>
            <w:tcW w:type="dxa" w:w="3024"/>
          </w:tcPr>
          <w:p>
            <w:pPr>
              <w:spacing w:line="360" w:lineRule="auto" w:before="0" w:after="0"/>
              <w:jc w:val="center"/>
            </w:pPr>
            <w:r>
              <w:rPr>
                <w:rFonts w:ascii="Times New Roman" w:hAnsi="Times New Roman" w:cs="Times New Roman" w:eastAsia="Times New Roman"/>
                <w:b w:val="0"/>
                <w:i w:val="0"/>
                <w:sz w:val="18"/>
                <w:u w:val="none"/>
              </w:rPr>
              <w:t>spectral_flatness_std</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0,0619</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2</w:t>
            </w:r>
          </w:p>
        </w:tc>
        <w:tc>
          <w:tcPr>
            <w:tcW w:type="dxa" w:w="3024"/>
          </w:tcPr>
          <w:p>
            <w:pPr>
              <w:spacing w:line="360" w:lineRule="auto" w:before="0" w:after="0"/>
              <w:jc w:val="center"/>
            </w:pPr>
            <w:r>
              <w:rPr>
                <w:rFonts w:ascii="Times New Roman" w:hAnsi="Times New Roman" w:cs="Times New Roman" w:eastAsia="Times New Roman"/>
                <w:b w:val="0"/>
                <w:i w:val="0"/>
                <w:sz w:val="18"/>
                <w:u w:val="none"/>
              </w:rPr>
              <w:t>spectral_contrast_mean</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0,0467</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3</w:t>
            </w:r>
          </w:p>
        </w:tc>
        <w:tc>
          <w:tcPr>
            <w:tcW w:type="dxa" w:w="3024"/>
          </w:tcPr>
          <w:p>
            <w:pPr>
              <w:spacing w:line="360" w:lineRule="auto" w:before="0" w:after="0"/>
              <w:jc w:val="center"/>
            </w:pPr>
            <w:r>
              <w:rPr>
                <w:rFonts w:ascii="Times New Roman" w:hAnsi="Times New Roman" w:cs="Times New Roman" w:eastAsia="Times New Roman"/>
                <w:b w:val="0"/>
                <w:i w:val="0"/>
                <w:sz w:val="18"/>
                <w:u w:val="none"/>
              </w:rPr>
              <w:t>rms_energy</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0,0456</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4</w:t>
            </w:r>
          </w:p>
        </w:tc>
        <w:tc>
          <w:tcPr>
            <w:tcW w:type="dxa" w:w="3024"/>
          </w:tcPr>
          <w:p>
            <w:pPr>
              <w:spacing w:line="360" w:lineRule="auto" w:before="0" w:after="0"/>
              <w:jc w:val="center"/>
            </w:pPr>
            <w:r>
              <w:rPr>
                <w:rFonts w:ascii="Times New Roman" w:hAnsi="Times New Roman" w:cs="Times New Roman" w:eastAsia="Times New Roman"/>
                <w:b w:val="0"/>
                <w:i w:val="0"/>
                <w:sz w:val="18"/>
                <w:u w:val="none"/>
              </w:rPr>
              <w:t>onset_strength_std</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0,0388</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5</w:t>
            </w:r>
          </w:p>
        </w:tc>
        <w:tc>
          <w:tcPr>
            <w:tcW w:type="dxa" w:w="3024"/>
          </w:tcPr>
          <w:p>
            <w:pPr>
              <w:spacing w:line="360" w:lineRule="auto" w:before="0" w:after="0"/>
              <w:jc w:val="center"/>
            </w:pPr>
            <w:r>
              <w:rPr>
                <w:rFonts w:ascii="Times New Roman" w:hAnsi="Times New Roman" w:cs="Times New Roman" w:eastAsia="Times New Roman"/>
                <w:b w:val="0"/>
                <w:i w:val="0"/>
                <w:sz w:val="18"/>
                <w:u w:val="none"/>
              </w:rPr>
              <w:t>spectral_flatness_mean</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0,0370</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6</w:t>
            </w:r>
          </w:p>
        </w:tc>
        <w:tc>
          <w:tcPr>
            <w:tcW w:type="dxa" w:w="3024"/>
          </w:tcPr>
          <w:p>
            <w:pPr>
              <w:spacing w:line="360" w:lineRule="auto" w:before="0" w:after="0"/>
              <w:jc w:val="center"/>
            </w:pPr>
            <w:r>
              <w:rPr>
                <w:rFonts w:ascii="Times New Roman" w:hAnsi="Times New Roman" w:cs="Times New Roman" w:eastAsia="Times New Roman"/>
                <w:b w:val="0"/>
                <w:i w:val="0"/>
                <w:sz w:val="18"/>
                <w:u w:val="none"/>
              </w:rPr>
              <w:t>rms_dynamic_range</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0,0346</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7</w:t>
            </w:r>
          </w:p>
        </w:tc>
        <w:tc>
          <w:tcPr>
            <w:tcW w:type="dxa" w:w="3024"/>
          </w:tcPr>
          <w:p>
            <w:pPr>
              <w:spacing w:line="360" w:lineRule="auto" w:before="0" w:after="0"/>
              <w:jc w:val="center"/>
            </w:pPr>
            <w:r>
              <w:rPr>
                <w:rFonts w:ascii="Times New Roman" w:hAnsi="Times New Roman" w:cs="Times New Roman" w:eastAsia="Times New Roman"/>
                <w:b w:val="0"/>
                <w:i w:val="0"/>
                <w:sz w:val="18"/>
                <w:u w:val="none"/>
              </w:rPr>
              <w:t>onset_strength_mean</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0,0332</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8</w:t>
            </w:r>
          </w:p>
        </w:tc>
        <w:tc>
          <w:tcPr>
            <w:tcW w:type="dxa" w:w="3024"/>
          </w:tcPr>
          <w:p>
            <w:pPr>
              <w:spacing w:line="360" w:lineRule="auto" w:before="0" w:after="0"/>
              <w:jc w:val="center"/>
            </w:pPr>
            <w:r>
              <w:rPr>
                <w:rFonts w:ascii="Times New Roman" w:hAnsi="Times New Roman" w:cs="Times New Roman" w:eastAsia="Times New Roman"/>
                <w:b w:val="0"/>
                <w:i w:val="0"/>
                <w:sz w:val="18"/>
                <w:u w:val="none"/>
              </w:rPr>
              <w:t>rms_std</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0,0298</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9</w:t>
            </w:r>
          </w:p>
        </w:tc>
        <w:tc>
          <w:tcPr>
            <w:tcW w:type="dxa" w:w="3024"/>
          </w:tcPr>
          <w:p>
            <w:pPr>
              <w:spacing w:line="360" w:lineRule="auto" w:before="0" w:after="0"/>
              <w:jc w:val="center"/>
            </w:pPr>
            <w:r>
              <w:rPr>
                <w:rFonts w:ascii="Times New Roman" w:hAnsi="Times New Roman" w:cs="Times New Roman" w:eastAsia="Times New Roman"/>
                <w:b w:val="0"/>
                <w:i w:val="0"/>
                <w:sz w:val="18"/>
                <w:u w:val="none"/>
              </w:rPr>
              <w:t>beat_count</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0,0298</w:t>
            </w:r>
          </w:p>
        </w:tc>
      </w:tr>
      <w:tr>
        <w:tc>
          <w:tcPr>
            <w:tcW w:type="dxa" w:w="3024"/>
          </w:tcPr>
          <w:p>
            <w:pPr>
              <w:spacing w:line="360" w:lineRule="auto" w:before="0" w:after="0"/>
              <w:jc w:val="center"/>
            </w:pPr>
            <w:r>
              <w:rPr>
                <w:rFonts w:ascii="Times New Roman" w:hAnsi="Times New Roman" w:cs="Times New Roman" w:eastAsia="Times New Roman"/>
                <w:b w:val="0"/>
                <w:i w:val="0"/>
                <w:sz w:val="18"/>
                <w:u w:val="none"/>
              </w:rPr>
              <w:t>10</w:t>
            </w:r>
          </w:p>
        </w:tc>
        <w:tc>
          <w:tcPr>
            <w:tcW w:type="dxa" w:w="3024"/>
          </w:tcPr>
          <w:p>
            <w:pPr>
              <w:spacing w:line="360" w:lineRule="auto" w:before="0" w:after="0"/>
              <w:jc w:val="center"/>
            </w:pPr>
            <w:r>
              <w:rPr>
                <w:rFonts w:ascii="Times New Roman" w:hAnsi="Times New Roman" w:cs="Times New Roman" w:eastAsia="Times New Roman"/>
                <w:b w:val="0"/>
                <w:i w:val="0"/>
                <w:sz w:val="18"/>
                <w:u w:val="none"/>
              </w:rPr>
              <w:t>mfcc_delta_var</w:t>
            </w:r>
          </w:p>
        </w:tc>
        <w:tc>
          <w:tcPr>
            <w:tcW w:type="dxa" w:w="3024"/>
          </w:tcPr>
          <w:p>
            <w:pPr>
              <w:spacing w:line="360" w:lineRule="auto" w:before="0" w:after="0"/>
              <w:jc w:val="center"/>
            </w:pPr>
            <w:r>
              <w:rPr>
                <w:rFonts w:ascii="Times New Roman" w:hAnsi="Times New Roman" w:cs="Times New Roman" w:eastAsia="Times New Roman"/>
                <w:b w:val="0"/>
                <w:i w:val="0"/>
                <w:sz w:val="18"/>
                <w:u w:val="none"/>
              </w:rPr>
              <w:t>0,0289</w:t>
            </w:r>
          </w:p>
        </w:tc>
      </w:tr>
    </w:tbl>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4320000" cy="3445455"/>
            <wp:docPr id="8" name="Picture 8"/>
            <wp:cNvGraphicFramePr>
              <a:graphicFrameLocks noChangeAspect="1"/>
            </wp:cNvGraphicFramePr>
            <a:graphic>
              <a:graphicData uri="http://schemas.openxmlformats.org/drawingml/2006/picture">
                <pic:pic>
                  <pic:nvPicPr>
                    <pic:cNvPr id="0" name="paper_feature_importance.png"/>
                    <pic:cNvPicPr/>
                  </pic:nvPicPr>
                  <pic:blipFill>
                    <a:blip r:embed="rId14"/>
                    <a:stretch>
                      <a:fillRect/>
                    </a:stretch>
                  </pic:blipFill>
                  <pic:spPr>
                    <a:xfrm>
                      <a:off x="0" y="0"/>
                      <a:ext cx="4320000" cy="3445455"/>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7. İlk yirmi özniteliğin önem skorları. </w:t>
      </w:r>
      <w:r>
        <w:rPr>
          <w:rFonts w:ascii="Times New Roman" w:hAnsi="Times New Roman" w:cs="Times New Roman" w:eastAsia="Times New Roman"/>
          <w:b/>
          <w:i w:val="0"/>
          <w:sz w:val="16"/>
          <w:u w:val="none"/>
        </w:rPr>
        <w:t>(Top-twenty feature importance scores.)</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4320000" cy="4577120"/>
            <wp:docPr id="9" name="Picture 9"/>
            <wp:cNvGraphicFramePr>
              <a:graphicFrameLocks noChangeAspect="1"/>
            </wp:cNvGraphicFramePr>
            <a:graphic>
              <a:graphicData uri="http://schemas.openxmlformats.org/drawingml/2006/picture">
                <pic:pic>
                  <pic:nvPicPr>
                    <pic:cNvPr id="0" name="shap_summary.png"/>
                    <pic:cNvPicPr/>
                  </pic:nvPicPr>
                  <pic:blipFill>
                    <a:blip r:embed="rId15"/>
                    <a:stretch>
                      <a:fillRect/>
                    </a:stretch>
                  </pic:blipFill>
                  <pic:spPr>
                    <a:xfrm>
                      <a:off x="0" y="0"/>
                      <a:ext cx="4320000" cy="4577120"/>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8. TreeSHAP global etki diyagramı. </w:t>
      </w:r>
      <w:r>
        <w:rPr>
          <w:rFonts w:ascii="Times New Roman" w:hAnsi="Times New Roman" w:cs="Times New Roman" w:eastAsia="Times New Roman"/>
          <w:b/>
          <w:i w:val="0"/>
          <w:sz w:val="16"/>
          <w:u w:val="none"/>
        </w:rPr>
        <w:t>(TreeSHAP global effect plot.)</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3600000" cy="3172088"/>
            <wp:docPr id="10" name="Picture 10"/>
            <wp:cNvGraphicFramePr>
              <a:graphicFrameLocks noChangeAspect="1"/>
            </wp:cNvGraphicFramePr>
            <a:graphic>
              <a:graphicData uri="http://schemas.openxmlformats.org/drawingml/2006/picture">
                <pic:pic>
                  <pic:nvPicPr>
                    <pic:cNvPr id="0" name="paper_confusion_matrix_lightgbm.png"/>
                    <pic:cNvPicPr/>
                  </pic:nvPicPr>
                  <pic:blipFill>
                    <a:blip r:embed="rId16"/>
                    <a:stretch>
                      <a:fillRect/>
                    </a:stretch>
                  </pic:blipFill>
                  <pic:spPr>
                    <a:xfrm>
                      <a:off x="0" y="0"/>
                      <a:ext cx="3600000" cy="3172088"/>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9. LightGBM karmaşıklık matrisi. </w:t>
      </w:r>
      <w:r>
        <w:rPr>
          <w:rFonts w:ascii="Times New Roman" w:hAnsi="Times New Roman" w:cs="Times New Roman" w:eastAsia="Times New Roman"/>
          <w:b/>
          <w:i w:val="0"/>
          <w:sz w:val="16"/>
          <w:u w:val="none"/>
        </w:rPr>
        <w:t>(LightGBM confusion matrix.)</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4320000" cy="2761556"/>
            <wp:docPr id="11" name="Picture 11"/>
            <wp:cNvGraphicFramePr>
              <a:graphicFrameLocks noChangeAspect="1"/>
            </wp:cNvGraphicFramePr>
            <a:graphic>
              <a:graphicData uri="http://schemas.openxmlformats.org/drawingml/2006/picture">
                <pic:pic>
                  <pic:nvPicPr>
                    <pic:cNvPr id="0" name="paper_score_distribution.png"/>
                    <pic:cNvPicPr/>
                  </pic:nvPicPr>
                  <pic:blipFill>
                    <a:blip r:embed="rId17"/>
                    <a:stretch>
                      <a:fillRect/>
                    </a:stretch>
                  </pic:blipFill>
                  <pic:spPr>
                    <a:xfrm>
                      <a:off x="0" y="0"/>
                      <a:ext cx="4320000" cy="2761556"/>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10. P(AI) tahmin olasılık dağılımı. </w:t>
      </w:r>
      <w:r>
        <w:rPr>
          <w:rFonts w:ascii="Times New Roman" w:hAnsi="Times New Roman" w:cs="Times New Roman" w:eastAsia="Times New Roman"/>
          <w:b/>
          <w:i w:val="0"/>
          <w:sz w:val="16"/>
          <w:u w:val="none"/>
        </w:rPr>
        <w:t>(P(AI) probability distribution.)</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3600000" cy="3420955"/>
            <wp:docPr id="12" name="Picture 12"/>
            <wp:cNvGraphicFramePr>
              <a:graphicFrameLocks noChangeAspect="1"/>
            </wp:cNvGraphicFramePr>
            <a:graphic>
              <a:graphicData uri="http://schemas.openxmlformats.org/drawingml/2006/picture">
                <pic:pic>
                  <pic:nvPicPr>
                    <pic:cNvPr id="0" name="paper_calibration.png"/>
                    <pic:cNvPicPr/>
                  </pic:nvPicPr>
                  <pic:blipFill>
                    <a:blip r:embed="rId18"/>
                    <a:stretch>
                      <a:fillRect/>
                    </a:stretch>
                  </pic:blipFill>
                  <pic:spPr>
                    <a:xfrm>
                      <a:off x="0" y="0"/>
                      <a:ext cx="3600000" cy="3420955"/>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11. Kalibrasyon eğrisi (Brier = 0,083). </w:t>
      </w:r>
      <w:r>
        <w:rPr>
          <w:rFonts w:ascii="Times New Roman" w:hAnsi="Times New Roman" w:cs="Times New Roman" w:eastAsia="Times New Roman"/>
          <w:b/>
          <w:i w:val="0"/>
          <w:sz w:val="16"/>
          <w:u w:val="none"/>
        </w:rPr>
        <w:t>(Calibration curve.)</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3600000" cy="3420955"/>
            <wp:docPr id="13" name="Picture 13"/>
            <wp:cNvGraphicFramePr>
              <a:graphicFrameLocks noChangeAspect="1"/>
            </wp:cNvGraphicFramePr>
            <a:graphic>
              <a:graphicData uri="http://schemas.openxmlformats.org/drawingml/2006/picture">
                <pic:pic>
                  <pic:nvPicPr>
                    <pic:cNvPr id="0" name="paper_precision_recall.png"/>
                    <pic:cNvPicPr/>
                  </pic:nvPicPr>
                  <pic:blipFill>
                    <a:blip r:embed="rId19"/>
                    <a:stretch>
                      <a:fillRect/>
                    </a:stretch>
                  </pic:blipFill>
                  <pic:spPr>
                    <a:xfrm>
                      <a:off x="0" y="0"/>
                      <a:ext cx="3600000" cy="3420955"/>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12. Kesinlik-duyarlılık eğrisi. </w:t>
      </w:r>
      <w:r>
        <w:rPr>
          <w:rFonts w:ascii="Times New Roman" w:hAnsi="Times New Roman" w:cs="Times New Roman" w:eastAsia="Times New Roman"/>
          <w:b/>
          <w:i w:val="0"/>
          <w:sz w:val="16"/>
          <w:u w:val="none"/>
        </w:rPr>
        <w:t>(Precision-recall curve.)</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4320000" cy="3027525"/>
            <wp:docPr id="14" name="Picture 14"/>
            <wp:cNvGraphicFramePr>
              <a:graphicFrameLocks noChangeAspect="1"/>
            </wp:cNvGraphicFramePr>
            <a:graphic>
              <a:graphicData uri="http://schemas.openxmlformats.org/drawingml/2006/picture">
                <pic:pic>
                  <pic:nvPicPr>
                    <pic:cNvPr id="0" name="threshold_sweep.png"/>
                    <pic:cNvPicPr/>
                  </pic:nvPicPr>
                  <pic:blipFill>
                    <a:blip r:embed="rId20"/>
                    <a:stretch>
                      <a:fillRect/>
                    </a:stretch>
                  </pic:blipFill>
                  <pic:spPr>
                    <a:xfrm>
                      <a:off x="0" y="0"/>
                      <a:ext cx="4320000" cy="3027525"/>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13. Karar eşiği taraması. </w:t>
      </w:r>
      <w:r>
        <w:rPr>
          <w:rFonts w:ascii="Times New Roman" w:hAnsi="Times New Roman" w:cs="Times New Roman" w:eastAsia="Times New Roman"/>
          <w:b/>
          <w:i w:val="0"/>
          <w:sz w:val="16"/>
          <w:u w:val="none"/>
        </w:rPr>
        <w:t>(Decision-threshold sweep.)</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4320000" cy="2186532"/>
            <wp:docPr id="15" name="Picture 15"/>
            <wp:cNvGraphicFramePr>
              <a:graphicFrameLocks noChangeAspect="1"/>
            </wp:cNvGraphicFramePr>
            <a:graphic>
              <a:graphicData uri="http://schemas.openxmlformats.org/drawingml/2006/picture">
                <pic:pic>
                  <pic:nvPicPr>
                    <pic:cNvPr id="0" name="per_source_performance.png"/>
                    <pic:cNvPicPr/>
                  </pic:nvPicPr>
                  <pic:blipFill>
                    <a:blip r:embed="rId21"/>
                    <a:stretch>
                      <a:fillRect/>
                    </a:stretch>
                  </pic:blipFill>
                  <pic:spPr>
                    <a:xfrm>
                      <a:off x="0" y="0"/>
                      <a:ext cx="4320000" cy="2186532"/>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14. Kaynak bazlı LightGBM performansı. </w:t>
      </w:r>
      <w:r>
        <w:rPr>
          <w:rFonts w:ascii="Times New Roman" w:hAnsi="Times New Roman" w:cs="Times New Roman" w:eastAsia="Times New Roman"/>
          <w:b/>
          <w:i w:val="0"/>
          <w:sz w:val="16"/>
          <w:u w:val="none"/>
        </w:rPr>
        <w:t>(Per-source LightGBM performance.)</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Aşırı öğrenme tanılayıcı analizi (Şekil 15), tüm ağaç tabanlı modellerin eğitim ve çapraz doğrulama doğruluğu arasında 8-14 puanlık bir fark sergilediğini göstermektedir. Rastgele Orman %100,0 eğitim doğruluğuna karşı çapraz doğrulama altında %86,1 doğruluk elde etmiştir. Eğitim ve çapraz doğrulama doğruluklarının esasen örtüştüğü tek model, yalnızca 0,6 puanlık fark ile Lojistik Regresyon olmuştur.</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4320000" cy="2755862"/>
            <wp:docPr id="16" name="Picture 16"/>
            <wp:cNvGraphicFramePr>
              <a:graphicFrameLocks noChangeAspect="1"/>
            </wp:cNvGraphicFramePr>
            <a:graphic>
              <a:graphicData uri="http://schemas.openxmlformats.org/drawingml/2006/picture">
                <pic:pic>
                  <pic:nvPicPr>
                    <pic:cNvPr id="0" name="train_val_gap.png"/>
                    <pic:cNvPicPr/>
                  </pic:nvPicPr>
                  <pic:blipFill>
                    <a:blip r:embed="rId22"/>
                    <a:stretch>
                      <a:fillRect/>
                    </a:stretch>
                  </pic:blipFill>
                  <pic:spPr>
                    <a:xfrm>
                      <a:off x="0" y="0"/>
                      <a:ext cx="4320000" cy="2755862"/>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15. Eğitim ve çapraz doğrulama doğruluk farkı. </w:t>
      </w:r>
      <w:r>
        <w:rPr>
          <w:rFonts w:ascii="Times New Roman" w:hAnsi="Times New Roman" w:cs="Times New Roman" w:eastAsia="Times New Roman"/>
          <w:b/>
          <w:i w:val="0"/>
          <w:sz w:val="16"/>
          <w:u w:val="none"/>
        </w:rPr>
        <w:t>(Train versus cross-validation accuracy gap.)</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5400000" cy="4960590"/>
            <wp:docPr id="17" name="Picture 17"/>
            <wp:cNvGraphicFramePr>
              <a:graphicFrameLocks noChangeAspect="1"/>
            </wp:cNvGraphicFramePr>
            <a:graphic>
              <a:graphicData uri="http://schemas.openxmlformats.org/drawingml/2006/picture">
                <pic:pic>
                  <pic:nvPicPr>
                    <pic:cNvPr id="0" name="feature_correlation_heatmap.png"/>
                    <pic:cNvPicPr/>
                  </pic:nvPicPr>
                  <pic:blipFill>
                    <a:blip r:embed="rId23"/>
                    <a:stretch>
                      <a:fillRect/>
                    </a:stretch>
                  </pic:blipFill>
                  <pic:spPr>
                    <a:xfrm>
                      <a:off x="0" y="0"/>
                      <a:ext cx="5400000" cy="4960590"/>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16. 47 öznitelik korelasyon ısı haritası. </w:t>
      </w:r>
      <w:r>
        <w:rPr>
          <w:rFonts w:ascii="Times New Roman" w:hAnsi="Times New Roman" w:cs="Times New Roman" w:eastAsia="Times New Roman"/>
          <w:b/>
          <w:i w:val="0"/>
          <w:sz w:val="16"/>
          <w:u w:val="none"/>
        </w:rPr>
        <w:t>(47-feature correlation heatmap.)</w:t>
      </w:r>
    </w:p>
    <w:p>
      <w:pPr>
        <w:spacing w:line="360" w:lineRule="auto" w:before="0" w:after="0"/>
      </w:pPr>
    </w:p>
    <w:p>
      <w:pPr>
        <w:spacing w:line="360" w:lineRule="auto" w:before="0" w:after="0"/>
        <w:jc w:val="center"/>
      </w:pPr>
      <w:r>
        <w:drawing>
          <wp:inline xmlns:a="http://schemas.openxmlformats.org/drawingml/2006/main" xmlns:pic="http://schemas.openxmlformats.org/drawingml/2006/picture">
            <wp:extent cx="4320000" cy="2904828"/>
            <wp:docPr id="18" name="Picture 18"/>
            <wp:cNvGraphicFramePr>
              <a:graphicFrameLocks noChangeAspect="1"/>
            </wp:cNvGraphicFramePr>
            <a:graphic>
              <a:graphicData uri="http://schemas.openxmlformats.org/drawingml/2006/picture">
                <pic:pic>
                  <pic:nvPicPr>
                    <pic:cNvPr id="0" name="feature_ablation_curve.png"/>
                    <pic:cNvPicPr/>
                  </pic:nvPicPr>
                  <pic:blipFill>
                    <a:blip r:embed="rId24"/>
                    <a:stretch>
                      <a:fillRect/>
                    </a:stretch>
                  </pic:blipFill>
                  <pic:spPr>
                    <a:xfrm>
                      <a:off x="0" y="0"/>
                      <a:ext cx="4320000" cy="2904828"/>
                    </a:xfrm>
                    <a:prstGeom prst="rect"/>
                  </pic:spPr>
                </pic:pic>
              </a:graphicData>
            </a:graphic>
          </wp:inline>
        </w:drawing>
      </w:r>
    </w:p>
    <w:p>
      <w:pPr>
        <w:spacing w:line="360" w:lineRule="auto" w:before="0" w:after="0"/>
        <w:jc w:val="center"/>
      </w:pPr>
      <w:r>
        <w:rPr>
          <w:rFonts w:ascii="Times New Roman" w:hAnsi="Times New Roman" w:cs="Times New Roman" w:eastAsia="Times New Roman"/>
          <w:b w:val="0"/>
          <w:i w:val="0"/>
          <w:sz w:val="18"/>
          <w:u w:val="none"/>
        </w:rPr>
        <w:t xml:space="preserve">Şekil 17. Öznitelik sayısı vs doğruluk eğrisi. </w:t>
      </w:r>
      <w:r>
        <w:rPr>
          <w:rFonts w:ascii="Times New Roman" w:hAnsi="Times New Roman" w:cs="Times New Roman" w:eastAsia="Times New Roman"/>
          <w:b/>
          <w:i w:val="0"/>
          <w:sz w:val="16"/>
          <w:u w:val="none"/>
        </w:rPr>
        <w:t>(Number of features vs accuracy curve.)</w:t>
      </w:r>
    </w:p>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4. Sonuçlar </w:t>
      </w:r>
      <w:r>
        <w:rPr>
          <w:rFonts w:ascii="Times New Roman" w:hAnsi="Times New Roman" w:cs="Times New Roman" w:eastAsia="Times New Roman"/>
          <w:b/>
          <w:i w:val="0"/>
          <w:sz w:val="16"/>
          <w:u w:val="none"/>
        </w:rPr>
        <w:t>(Conclusions)</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Bu çalışmada yapay zekâ tarafından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insan müziği ayrımı için en bilgilendirici tek öznitelik olarak öne çıkmıştır. Tanılayıcı analiz iki önemli sınırlamayı ortaya koymuştur: tüm ağaç tabanlı modeller eğitim ile çapraz doğrulama doğrulukları arasında 8-14 puanlık bir fark sergilemekte ve 47 özniteliğin sondaki yaklaşık on yedisi ölçülebilir bir ek doğruluk sağlamamaktadır.</w:t>
      </w:r>
    </w:p>
    <w:p>
      <w:pPr>
        <w:spacing w:line="360" w:lineRule="auto" w:before="0" w:after="0"/>
      </w:pPr>
    </w:p>
    <w:p>
      <w:pPr>
        <w:spacing w:line="360" w:lineRule="auto" w:before="0" w:after="0"/>
        <w:ind w:firstLine="283"/>
        <w:jc w:val="both"/>
      </w:pPr>
      <w:r>
        <w:rPr>
          <w:rFonts w:ascii="Times New Roman" w:hAnsi="Times New Roman" w:cs="Times New Roman" w:eastAsia="Times New Roman"/>
          <w:b w:val="0"/>
          <w:i w:val="0"/>
          <w:sz w:val="18"/>
          <w:u w:val="none"/>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Teşekkür </w:t>
      </w:r>
      <w:r>
        <w:rPr>
          <w:rFonts w:ascii="Times New Roman" w:hAnsi="Times New Roman" w:cs="Times New Roman" w:eastAsia="Times New Roman"/>
          <w:b/>
          <w:i w:val="0"/>
          <w:sz w:val="16"/>
          <w:u w:val="none"/>
        </w:rPr>
        <w:t>(Acknowledgement)</w:t>
      </w:r>
    </w:p>
    <w:p>
      <w:pPr>
        <w:spacing w:line="360" w:lineRule="auto" w:before="0" w:after="0"/>
      </w:pPr>
      <w:r>
        <w:rPr>
          <w:rFonts w:ascii="Times New Roman" w:hAnsi="Times New Roman" w:cs="Times New Roman" w:eastAsia="Times New Roman"/>
          <w:b w:val="0"/>
          <w:i w:val="0"/>
          <w:sz w:val="18"/>
          <w:u w:val="none"/>
        </w:rPr>
      </w:r>
    </w:p>
    <w:p>
      <w:pPr>
        <w:spacing w:line="360" w:lineRule="auto" w:before="0" w:after="0"/>
        <w:ind w:firstLine="283"/>
        <w:jc w:val="both"/>
      </w:pPr>
      <w:r>
        <w:rPr>
          <w:rFonts w:ascii="Times New Roman" w:hAnsi="Times New Roman" w:cs="Times New Roman" w:eastAsia="Times New Roman"/>
          <w:b w:val="0"/>
          <w:i w:val="0"/>
          <w:sz w:val="18"/>
          <w:u w:val="none"/>
        </w:rPr>
        <w:t>Yazar, çalışma boyunca rehberliği için Düzce Üniversitesi Bilgisayar Mühendisliği Bölümü öğretim üyelerine teşekkür eder.</w:t>
      </w:r>
    </w:p>
    <w:p>
      <w:pPr>
        <w:spacing w:line="360" w:lineRule="auto" w:before="0" w:after="0"/>
      </w:pPr>
    </w:p>
    <w:p>
      <w:pPr>
        <w:spacing w:line="360" w:lineRule="auto" w:before="0" w:after="0"/>
      </w:pPr>
      <w:r>
        <w:rPr>
          <w:rFonts w:ascii="Times New Roman" w:hAnsi="Times New Roman" w:cs="Times New Roman" w:eastAsia="Times New Roman"/>
          <w:b/>
          <w:i w:val="0"/>
          <w:sz w:val="18"/>
          <w:u w:val="none"/>
        </w:rPr>
        <w:t xml:space="preserve">Kaynaklar </w:t>
      </w:r>
      <w:r>
        <w:rPr>
          <w:rFonts w:ascii="Times New Roman" w:hAnsi="Times New Roman" w:cs="Times New Roman" w:eastAsia="Times New Roman"/>
          <w:b/>
          <w:i w:val="0"/>
          <w:sz w:val="16"/>
          <w:u w:val="none"/>
        </w:rPr>
        <w:t>(References)</w:t>
      </w:r>
    </w:p>
    <w:p>
      <w:pPr>
        <w:spacing w:line="360" w:lineRule="auto" w:before="0" w:after="0"/>
      </w:pPr>
      <w:r>
        <w:rPr>
          <w:rFonts w:ascii="Times New Roman" w:hAnsi="Times New Roman" w:cs="Times New Roman" w:eastAsia="Times New Roman"/>
          <w:b w:val="0"/>
          <w:i w:val="0"/>
          <w:sz w:val="18"/>
          <w:u w:val="none"/>
        </w:rPr>
      </w:r>
    </w:p>
    <w:p>
      <w:pPr>
        <w:spacing w:line="240" w:lineRule="auto" w:after="60" w:before="0"/>
        <w:ind w:left="283" w:hanging="283"/>
      </w:pPr>
      <w:r>
        <w:rPr>
          <w:rFonts w:ascii="Times New Roman" w:hAnsi="Times New Roman" w:cs="Times New Roman" w:eastAsia="Times New Roman"/>
          <w:b w:val="0"/>
          <w:i w:val="0"/>
          <w:sz w:val="18"/>
          <w:u w:val="none"/>
        </w:rPr>
        <w:t>1. Copet J., Kreuk F., Gat I., Remez T., Kant D., Synnaeve G., Adi Y., Défossez A., Simple and Controllable Music Generation, Adv Neural Inf Process Syst, 36, 2023.</w:t>
      </w:r>
    </w:p>
    <w:p>
      <w:pPr>
        <w:spacing w:line="240" w:lineRule="auto" w:after="60" w:before="0"/>
        <w:ind w:left="283" w:hanging="283"/>
      </w:pPr>
      <w:r>
        <w:rPr>
          <w:rFonts w:ascii="Times New Roman" w:hAnsi="Times New Roman" w:cs="Times New Roman" w:eastAsia="Times New Roman"/>
          <w:b w:val="0"/>
          <w:i w:val="0"/>
          <w:sz w:val="18"/>
          <w:u w:val="none"/>
        </w:rPr>
        <w:t>2. Liu H., Chen Z., Yuan Y., Mei X., Liu X., Mandic D., Wang W., Plumbley M.D., AudioLDM: Text-to-Audio Generation with Latent Diffusion Models, Proceedings of the 40th International Conference on Machine Learning (ICML 2023), 21450-21474, Honolulu, Hawaii, A.B.D., 23-29 Temmuz, 2023.</w:t>
      </w:r>
    </w:p>
    <w:p>
      <w:pPr>
        <w:spacing w:line="240" w:lineRule="auto" w:after="60" w:before="0"/>
        <w:ind w:left="283" w:hanging="283"/>
      </w:pPr>
      <w:r>
        <w:rPr>
          <w:rFonts w:ascii="Times New Roman" w:hAnsi="Times New Roman" w:cs="Times New Roman" w:eastAsia="Times New Roman"/>
          <w:b w:val="0"/>
          <w:i w:val="0"/>
          <w:sz w:val="18"/>
          <w:u w:val="none"/>
        </w:rPr>
        <w:t>3. Yi J. vd., ADD 2022: The First Audio Deep Synthesis Detection Challenge, Proceedings of the IEEE International Conference on Acoustics, Speech and Signal Processing (ICASSP 2022), 9216-9220, Singapur, 22-27 Mayıs, 2022.</w:t>
      </w:r>
    </w:p>
    <w:p>
      <w:pPr>
        <w:spacing w:line="240" w:lineRule="auto" w:after="60" w:before="0"/>
        <w:ind w:left="283" w:hanging="283"/>
      </w:pPr>
      <w:r>
        <w:rPr>
          <w:rFonts w:ascii="Times New Roman" w:hAnsi="Times New Roman" w:cs="Times New Roman" w:eastAsia="Times New Roman"/>
          <w:b w:val="0"/>
          <w:i w:val="0"/>
          <w:sz w:val="18"/>
          <w:u w:val="none"/>
        </w:rPr>
        <w:t>4. Frank J., Schönherr L., WaveFake: A Data Set to Facilitate Audio Deepfake Detection, Advances in Neural Information Processing Systems Datasets and Benchmarks Track, 2021.</w:t>
      </w:r>
    </w:p>
    <w:p>
      <w:pPr>
        <w:spacing w:line="240" w:lineRule="auto" w:after="60" w:before="0"/>
        <w:ind w:left="283" w:hanging="283"/>
      </w:pPr>
      <w:r>
        <w:rPr>
          <w:rFonts w:ascii="Times New Roman" w:hAnsi="Times New Roman" w:cs="Times New Roman" w:eastAsia="Times New Roman"/>
          <w:b w:val="0"/>
          <w:i w:val="0"/>
          <w:sz w:val="18"/>
          <w:u w:val="none"/>
        </w:rPr>
        <w:t>5. Li Y., Milling M., Specia L., Schuller B.W., From Audio Deepfake Detection to AI-Generated Music Detection: A Pathway and Overview, arXiv preprint arXiv:2412.00571, 2024.</w:t>
      </w:r>
    </w:p>
    <w:p>
      <w:pPr>
        <w:spacing w:line="240" w:lineRule="auto" w:after="60" w:before="0"/>
        <w:ind w:left="283" w:hanging="283"/>
      </w:pPr>
      <w:r>
        <w:rPr>
          <w:rFonts w:ascii="Times New Roman" w:hAnsi="Times New Roman" w:cs="Times New Roman" w:eastAsia="Times New Roman"/>
          <w:b w:val="0"/>
          <w:i w:val="0"/>
          <w:sz w:val="18"/>
          <w:u w:val="none"/>
        </w:rPr>
        <w:t>6. Yi J., Wang C., Tao J., Zhang X., Zhang C.Y., Zhao Y., Audio Deepfake Detection: A Survey, arXiv preprint arXiv:2308.14970, 2023.</w:t>
      </w:r>
    </w:p>
    <w:p>
      <w:pPr>
        <w:spacing w:line="240" w:lineRule="auto" w:after="60" w:before="0"/>
        <w:ind w:left="283" w:hanging="283"/>
      </w:pPr>
      <w:r>
        <w:rPr>
          <w:rFonts w:ascii="Times New Roman" w:hAnsi="Times New Roman" w:cs="Times New Roman" w:eastAsia="Times New Roman"/>
          <w:b w:val="0"/>
          <w:i w:val="0"/>
          <w:sz w:val="18"/>
          <w:u w:val="none"/>
        </w:rPr>
        <w:t>7. Afchar D., Meseguer Brocal G., Hennequin R., AI-Generated Music Detection and Its Challenges, Proceedings of the IEEE International Conference on Acoustics, Speech and Signal Processing (ICASSP 2025), Hyderabad, Hindistan, 6-11 Nisan, 2025.</w:t>
      </w:r>
    </w:p>
    <w:p>
      <w:pPr>
        <w:spacing w:line="240" w:lineRule="auto" w:after="60" w:before="0"/>
        <w:ind w:left="283" w:hanging="283"/>
      </w:pPr>
      <w:r>
        <w:rPr>
          <w:rFonts w:ascii="Times New Roman" w:hAnsi="Times New Roman" w:cs="Times New Roman" w:eastAsia="Times New Roman"/>
          <w:b w:val="0"/>
          <w:i w:val="0"/>
          <w:sz w:val="18"/>
          <w:u w:val="none"/>
        </w:rPr>
        <w:t>8. Kim Y., Go S., Segment Transformer: AI-Generated Music Detection via Music Structural Analysis, arXiv preprint arXiv:2509.08283, 2025.</w:t>
      </w:r>
    </w:p>
    <w:p>
      <w:pPr>
        <w:spacing w:line="240" w:lineRule="auto" w:after="60" w:before="0"/>
        <w:ind w:left="283" w:hanging="283"/>
      </w:pPr>
      <w:r>
        <w:rPr>
          <w:rFonts w:ascii="Times New Roman" w:hAnsi="Times New Roman" w:cs="Times New Roman" w:eastAsia="Times New Roman"/>
          <w:b w:val="0"/>
          <w:i w:val="0"/>
          <w:sz w:val="18"/>
          <w:u w:val="none"/>
        </w:rPr>
        <w:t>9. Chen T., Guestrin C., XGBoost: A Scalable Tree Boosting System, Proceedings of the 22nd ACM SIGKDD International Conference on Knowledge Discovery and Data Mining (KDD '16), 785-794, San Francisco, CA, A.B.D., 13-17 Ağustos, 2016.</w:t>
      </w:r>
    </w:p>
    <w:p>
      <w:pPr>
        <w:spacing w:line="240" w:lineRule="auto" w:after="60" w:before="0"/>
        <w:ind w:left="283" w:hanging="283"/>
      </w:pPr>
      <w:r>
        <w:rPr>
          <w:rFonts w:ascii="Times New Roman" w:hAnsi="Times New Roman" w:cs="Times New Roman" w:eastAsia="Times New Roman"/>
          <w:b w:val="0"/>
          <w:i w:val="0"/>
          <w:sz w:val="18"/>
          <w:u w:val="none"/>
        </w:rPr>
        <w:t>10. Ke G. vd., LightGBM: A Highly Efficient Gradient Boosting Decision Tree, Adv Neural Inf Process Syst, 30, 3149-3157, Long Beach, California, A.B.D., 4-9 Aralık, 2017.</w:t>
      </w:r>
    </w:p>
    <w:p>
      <w:pPr>
        <w:spacing w:line="240" w:lineRule="auto" w:after="60" w:before="0"/>
        <w:ind w:left="283" w:hanging="283"/>
      </w:pPr>
      <w:r>
        <w:rPr>
          <w:rFonts w:ascii="Times New Roman" w:hAnsi="Times New Roman" w:cs="Times New Roman" w:eastAsia="Times New Roman"/>
          <w:b w:val="0"/>
          <w:i w:val="0"/>
          <w:sz w:val="18"/>
          <w:u w:val="none"/>
        </w:rPr>
        <w:t>11. Lundberg S.M., Lee S.I., A Unified Approach to Interpreting Model Predictions, Adv Neural Inf Process Syst, 30, 4768-4777, Long Beach, California, A.B.D., 4-9 Aralık, 2017.</w:t>
      </w:r>
    </w:p>
    <w:p>
      <w:pPr>
        <w:spacing w:line="240" w:lineRule="auto" w:after="60" w:before="0"/>
        <w:ind w:left="283" w:hanging="283"/>
      </w:pPr>
      <w:r>
        <w:rPr>
          <w:rFonts w:ascii="Times New Roman" w:hAnsi="Times New Roman" w:cs="Times New Roman" w:eastAsia="Times New Roman"/>
          <w:b w:val="0"/>
          <w:i w:val="0"/>
          <w:sz w:val="18"/>
          <w:u w:val="none"/>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pPr>
        <w:spacing w:line="240" w:lineRule="auto" w:after="60" w:before="0"/>
        <w:ind w:left="283" w:hanging="283"/>
      </w:pPr>
      <w:r>
        <w:rPr>
          <w:rFonts w:ascii="Times New Roman" w:hAnsi="Times New Roman" w:cs="Times New Roman" w:eastAsia="Times New Roman"/>
          <w:b w:val="0"/>
          <w:i w:val="0"/>
          <w:sz w:val="18"/>
          <w:u w:val="none"/>
        </w:rPr>
        <w:t>13. Baevski A., Zhou Y., Mohamed A., Auli M., wav2vec 2.0: A Framework for Self-Supervised Learning of Speech Representations, Adv Neural Inf Process Syst, 33, 12449-12460, 2020.</w:t>
      </w:r>
    </w:p>
    <w:p>
      <w:pPr>
        <w:spacing w:line="240" w:lineRule="auto" w:after="60" w:before="0"/>
        <w:ind w:left="283" w:hanging="283"/>
      </w:pPr>
      <w:r>
        <w:rPr>
          <w:rFonts w:ascii="Times New Roman" w:hAnsi="Times New Roman" w:cs="Times New Roman" w:eastAsia="Times New Roman"/>
          <w:b w:val="0"/>
          <w:i w:val="0"/>
          <w:sz w:val="18"/>
          <w:u w:val="none"/>
        </w:rPr>
        <w:t>14. Elizalde B., Deshmukh S., Al Ismail M., Wang H., CLAP: Learning Audio Concepts from Natural Language Supervision, Proceedings of the IEEE International Conference on Acoustics, Speech and Signal Processing (ICASSP 2023), 1-5, Rhodes, Yunanistan, 4-10 Haziran, 2023.</w:t>
      </w:r>
    </w:p>
    <w:p>
      <w:pPr>
        <w:spacing w:line="240" w:lineRule="auto" w:after="60" w:before="0"/>
        <w:ind w:left="283" w:hanging="283"/>
      </w:pPr>
      <w:r>
        <w:rPr>
          <w:rFonts w:ascii="Times New Roman" w:hAnsi="Times New Roman" w:cs="Times New Roman" w:eastAsia="Times New Roman"/>
          <w:b w:val="0"/>
          <w:i w:val="0"/>
          <w:sz w:val="18"/>
          <w:u w:val="none"/>
        </w:rPr>
        <w:t>15. Wu Y. vd., Large-Scale Contrastive Language-Audio Pretraining with Feature Fusion and Keyword-to-Caption Augmentation, Proceedings of the IEEE International Conference on Acoustics, Speech and Signal Processing (ICASSP 2023), 1-5, Rhodes, Yunanistan, 4-10 Haziran, 2023.</w:t>
      </w:r>
    </w:p>
    <w:p>
      <w:pPr>
        <w:spacing w:line="240" w:lineRule="auto" w:after="60" w:before="0"/>
        <w:ind w:left="283" w:hanging="283"/>
      </w:pPr>
      <w:r>
        <w:rPr>
          <w:rFonts w:ascii="Times New Roman" w:hAnsi="Times New Roman" w:cs="Times New Roman" w:eastAsia="Times New Roman"/>
          <w:b w:val="0"/>
          <w:i w:val="0"/>
          <w:sz w:val="18"/>
          <w:u w:val="none"/>
        </w:rPr>
        <w:t>16. Liu Y., Yin Y., Zhu Q., Cui W., Musical Instrument Recognition by XGBoost Combining Feature Fusion, arXiv preprint arXiv:2206.00901, 2022.</w:t>
      </w:r>
    </w:p>
    <w:p>
      <w:pPr>
        <w:spacing w:line="240" w:lineRule="auto" w:after="60" w:before="0"/>
        <w:ind w:left="283" w:hanging="283"/>
      </w:pPr>
      <w:r>
        <w:rPr>
          <w:rFonts w:ascii="Times New Roman" w:hAnsi="Times New Roman" w:cs="Times New Roman" w:eastAsia="Times New Roman"/>
          <w:b w:val="0"/>
          <w:i w:val="0"/>
          <w:sz w:val="18"/>
          <w:u w:val="none"/>
        </w:rPr>
        <w:t>17. Gan R., Huang T., Shao J., Wang F., Music Genre Classification Based on VMD-IWOA-XGBoost, Mathematics, 12 (10), 1549, 2024.</w:t>
      </w:r>
    </w:p>
    <w:p>
      <w:pPr>
        <w:spacing w:line="240" w:lineRule="auto" w:after="60" w:before="0"/>
        <w:ind w:left="283" w:hanging="283"/>
      </w:pPr>
      <w:r>
        <w:rPr>
          <w:rFonts w:ascii="Times New Roman" w:hAnsi="Times New Roman" w:cs="Times New Roman" w:eastAsia="Times New Roman"/>
          <w:b w:val="0"/>
          <w:i w:val="0"/>
          <w:sz w:val="18"/>
          <w:u w:val="none"/>
        </w:rPr>
        <w:t>18. Hızlısoy S., Tüfekci Z., Derin Öğrenme İle Türkçe Müziklerden Müzik Türü Sınıflandırması, Avrupa Bilim ve Teknoloji Dergisi, 24, 176-183, 2021.</w:t>
      </w:r>
    </w:p>
    <w:p>
      <w:pPr>
        <w:spacing w:line="240" w:lineRule="auto" w:after="60" w:before="0"/>
        <w:ind w:left="283" w:hanging="283"/>
      </w:pPr>
      <w:r>
        <w:rPr>
          <w:rFonts w:ascii="Times New Roman" w:hAnsi="Times New Roman" w:cs="Times New Roman" w:eastAsia="Times New Roman"/>
          <w:b w:val="0"/>
          <w:i w:val="0"/>
          <w:sz w:val="18"/>
          <w:u w:val="none"/>
        </w:rPr>
        <w:t>19. Özbalcı M.C., Şahin H., Bilgin T.T., Classification of Music Genres of GTZAN Dataset with Machine Learning Methods, Mühendislik Bilimleri ve Araştırmaları Dergisi, 6 (1), 2024.</w:t>
      </w:r>
    </w:p>
    <w:p>
      <w:pPr>
        <w:spacing w:line="240" w:lineRule="auto" w:after="60" w:before="0"/>
        <w:ind w:left="283" w:hanging="283"/>
      </w:pPr>
      <w:r>
        <w:rPr>
          <w:rFonts w:ascii="Times New Roman" w:hAnsi="Times New Roman" w:cs="Times New Roman" w:eastAsia="Times New Roman"/>
          <w:b w:val="0"/>
          <w:i w:val="0"/>
          <w:sz w:val="18"/>
          <w:u w:val="none"/>
        </w:rPr>
        <w:t>20. Turan A.K., Polat H., Yarı Denetimli Makine Öğrenmesi Yöntemini Kullanarak Müzik Türlerinin Tespiti, Gazi Üniversitesi Fen Bilimleri Dergisi Part C: Tasarım ve Teknoloji, 12 (1), 92-107, 2024.</w:t>
      </w:r>
    </w:p>
    <w:p>
      <w:pPr>
        <w:spacing w:line="240" w:lineRule="auto" w:after="60" w:before="0"/>
        <w:ind w:left="283" w:hanging="283"/>
      </w:pPr>
      <w:r>
        <w:rPr>
          <w:rFonts w:ascii="Times New Roman" w:hAnsi="Times New Roman" w:cs="Times New Roman" w:eastAsia="Times New Roman"/>
          <w:b w:val="0"/>
          <w:i w:val="0"/>
          <w:sz w:val="18"/>
          <w:u w:val="none"/>
        </w:rPr>
        <w:t>21. Kostrzewa D., Mazur W., Brzeski R., Wide Ensembles of Neural Networks in Music Genre Classification, Computational Science -- ICCS 2022, Lecture Notes in Computer Science, vol. 13351, 91-102, Springer, 2022.</w:t>
      </w:r>
    </w:p>
    <w:p>
      <w:pPr>
        <w:spacing w:line="240" w:lineRule="auto" w:after="60" w:before="0"/>
        <w:ind w:left="283" w:hanging="283"/>
      </w:pPr>
      <w:r>
        <w:rPr>
          <w:rFonts w:ascii="Times New Roman" w:hAnsi="Times New Roman" w:cs="Times New Roman" w:eastAsia="Times New Roman"/>
          <w:b w:val="0"/>
          <w:i w:val="0"/>
          <w:sz w:val="18"/>
          <w:u w:val="none"/>
        </w:rPr>
        <w:t>22. Gourisaria M.K., Agrawal R., Sahni M., Comparative Analysis of Audio Classification with MFCC and STFT Features Using Machine Learning Techniques, Discover Internet of Things, 4 (1), 1, 2024.</w:t>
      </w:r>
    </w:p>
    <w:p>
      <w:pPr>
        <w:spacing w:line="240" w:lineRule="auto" w:after="60" w:before="0"/>
        <w:ind w:left="283" w:hanging="283"/>
      </w:pPr>
      <w:r>
        <w:rPr>
          <w:rFonts w:ascii="Times New Roman" w:hAnsi="Times New Roman" w:cs="Times New Roman" w:eastAsia="Times New Roman"/>
          <w:b w:val="0"/>
          <w:i w:val="0"/>
          <w:sz w:val="18"/>
          <w:u w:val="none"/>
        </w:rPr>
        <w:t>23. Rahman M.A., Hakim Z.I.A., Sarker N.H., Paul B., Fattah S.A., SONICS: Synthetic Or Not -- Identifying Counterfeit Songs, Proceedings of the International Conference on Learning Representations (ICLR 2025), Singapur, 24-28 Nisan, 2025.</w:t>
      </w:r>
    </w:p>
    <w:p>
      <w:pPr>
        <w:spacing w:line="240" w:lineRule="auto" w:after="60" w:before="0"/>
        <w:ind w:left="283" w:hanging="283"/>
      </w:pPr>
      <w:r>
        <w:rPr>
          <w:rFonts w:ascii="Times New Roman" w:hAnsi="Times New Roman" w:cs="Times New Roman" w:eastAsia="Times New Roman"/>
          <w:b w:val="0"/>
          <w:i w:val="0"/>
          <w:sz w:val="18"/>
          <w:u w:val="none"/>
        </w:rPr>
        <w:t>24. Comanducci L., Bestagini P., Tubaro S., FakeMusicCaps: A Dataset for Detection and Attribution of Synthetic Music Generated via Text-to-Music Models, arXiv preprint arXiv:2409.10684, 2024.</w:t>
      </w:r>
    </w:p>
    <w:p>
      <w:pPr>
        <w:spacing w:line="240" w:lineRule="auto" w:after="60" w:before="0"/>
        <w:ind w:left="283" w:hanging="283"/>
      </w:pPr>
      <w:r>
        <w:rPr>
          <w:rFonts w:ascii="Times New Roman" w:hAnsi="Times New Roman" w:cs="Times New Roman" w:eastAsia="Times New Roman"/>
          <w:b w:val="0"/>
          <w:i w:val="0"/>
          <w:sz w:val="18"/>
          <w:u w:val="none"/>
        </w:rPr>
        <w:t>25. Pascu O., Oneata D., Cucu H., Müller N.M., Echoes: A Semantically-Aligned Music Deepfake Detection Dataset, arXiv preprint arXiv:2603.23667, 2025.</w:t>
      </w:r>
    </w:p>
    <w:p>
      <w:pPr>
        <w:spacing w:line="240" w:lineRule="auto" w:after="60" w:before="0"/>
        <w:ind w:left="283" w:hanging="283"/>
      </w:pPr>
      <w:r>
        <w:rPr>
          <w:rFonts w:ascii="Times New Roman" w:hAnsi="Times New Roman" w:cs="Times New Roman" w:eastAsia="Times New Roman"/>
          <w:b w:val="0"/>
          <w:i w:val="0"/>
          <w:sz w:val="18"/>
          <w:u w:val="none"/>
        </w:rPr>
        <w:t>26. Sunday N., Detecting Musical Deepfakes, arXiv preprint arXiv:2505.09633, 2025.</w:t>
      </w:r>
    </w:p>
    <w:p>
      <w:pPr>
        <w:spacing w:line="240" w:lineRule="auto" w:after="60" w:before="0"/>
        <w:ind w:left="283" w:hanging="283"/>
      </w:pPr>
      <w:r>
        <w:rPr>
          <w:rFonts w:ascii="Times New Roman" w:hAnsi="Times New Roman" w:cs="Times New Roman" w:eastAsia="Times New Roman"/>
          <w:b w:val="0"/>
          <w:i w:val="0"/>
          <w:sz w:val="18"/>
          <w:u w:val="none"/>
        </w:rPr>
        <w:t>27. Sroka T., Wężowicz T., Sidorczuk D., Modrzejewski M., Evaluating Fake Music Detection Performance Under Audio Augmentations, arXiv preprint arXiv:2507.10447, 2025.</w:t>
      </w:r>
    </w:p>
    <w:p>
      <w:pPr>
        <w:spacing w:line="240" w:lineRule="auto" w:after="60" w:before="0"/>
        <w:ind w:left="283" w:hanging="283"/>
      </w:pPr>
      <w:r>
        <w:rPr>
          <w:rFonts w:ascii="Times New Roman" w:hAnsi="Times New Roman" w:cs="Times New Roman" w:eastAsia="Times New Roman"/>
          <w:b w:val="0"/>
          <w:i w:val="0"/>
          <w:sz w:val="18"/>
          <w:u w:val="none"/>
        </w:rPr>
        <w:t>28. McFee B. vd., librosa: Audio and Music Signal Analysis in Python, Proceedings of the 14th Python in Science Conference (SciPy 2015), 18-24, Austin, Texas, A.B.D., 6-12 Temmuz, 2015.</w:t>
      </w:r>
    </w:p>
    <w:p>
      <w:pPr>
        <w:spacing w:line="240" w:lineRule="auto" w:after="60" w:before="0"/>
        <w:ind w:left="283" w:hanging="283"/>
      </w:pPr>
      <w:r>
        <w:rPr>
          <w:rFonts w:ascii="Times New Roman" w:hAnsi="Times New Roman" w:cs="Times New Roman" w:eastAsia="Times New Roman"/>
          <w:b w:val="0"/>
          <w:i w:val="0"/>
          <w:sz w:val="18"/>
          <w:u w:val="none"/>
        </w:rPr>
        <w:t>29. Pedregosa F. vd., Scikit-learn: Machine Learning in Python, Journal of Machine Learning Research, 12, 2825-2830, 2011.</w:t>
      </w:r>
    </w:p>
    <w:p>
      <w:pPr>
        <w:spacing w:line="240" w:lineRule="auto" w:after="60" w:before="0"/>
        <w:ind w:left="283" w:hanging="283"/>
      </w:pPr>
      <w:r>
        <w:rPr>
          <w:rFonts w:ascii="Times New Roman" w:hAnsi="Times New Roman" w:cs="Times New Roman" w:eastAsia="Times New Roman"/>
          <w:b w:val="0"/>
          <w:i w:val="0"/>
          <w:sz w:val="18"/>
          <w:u w:val="none"/>
        </w:rPr>
        <w:t>30. Kingma D.P., Ba J., Adam: A Method for Stochastic Optimization, Proceedings of the 3rd International Conference on Learning Representations (ICLR 2015), 1-15, San Diego, California, A.B.D., 7-9 Mayıs, 2015.</w:t>
      </w:r>
    </w:p>
    <w:sectPr w:rsidR="00914C1C" w:rsidRPr="00680767" w:rsidSect="00C676F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35F78"/>
    <w:rsid w:val="000371A7"/>
    <w:rsid w:val="0007430F"/>
    <w:rsid w:val="0008129D"/>
    <w:rsid w:val="000C2219"/>
    <w:rsid w:val="00140C38"/>
    <w:rsid w:val="001F30AF"/>
    <w:rsid w:val="00210F45"/>
    <w:rsid w:val="00293E1D"/>
    <w:rsid w:val="00384834"/>
    <w:rsid w:val="003B5D01"/>
    <w:rsid w:val="003D02B7"/>
    <w:rsid w:val="003D63F5"/>
    <w:rsid w:val="003D7927"/>
    <w:rsid w:val="003E776A"/>
    <w:rsid w:val="00425168"/>
    <w:rsid w:val="00493A29"/>
    <w:rsid w:val="004A53F7"/>
    <w:rsid w:val="00563347"/>
    <w:rsid w:val="005A1FAC"/>
    <w:rsid w:val="006716CF"/>
    <w:rsid w:val="00680767"/>
    <w:rsid w:val="006E026B"/>
    <w:rsid w:val="007562BD"/>
    <w:rsid w:val="007859A5"/>
    <w:rsid w:val="007D50AD"/>
    <w:rsid w:val="007D520C"/>
    <w:rsid w:val="00884205"/>
    <w:rsid w:val="008845CD"/>
    <w:rsid w:val="008B0A0A"/>
    <w:rsid w:val="008C0A80"/>
    <w:rsid w:val="008E7EC0"/>
    <w:rsid w:val="00914C1C"/>
    <w:rsid w:val="00927BA3"/>
    <w:rsid w:val="00A554E9"/>
    <w:rsid w:val="00A85EA3"/>
    <w:rsid w:val="00BA3458"/>
    <w:rsid w:val="00C676F9"/>
    <w:rsid w:val="00D05329"/>
    <w:rsid w:val="00E250A0"/>
    <w:rsid w:val="00E55896"/>
    <w:rsid w:val="00E71418"/>
    <w:rsid w:val="00F34813"/>
    <w:rsid w:val="00F643C1"/>
    <w:rsid w:val="00FA39E1"/>
    <w:rsid w:val="00FD434A"/>
    <w:rsid w:val="00FD635D"/>
    <w:rsid w:val="00FE080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3546C"/>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859A5"/>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340</Words>
  <Characters>1944</Characters>
  <Application>Microsoft Office Word</Application>
  <DocSecurity>0</DocSecurity>
  <Lines>16</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MMFDergi</cp:lastModifiedBy>
  <cp:revision>2</cp:revision>
  <dcterms:created xsi:type="dcterms:W3CDTF">2022-06-03T08:21:00Z</dcterms:created>
  <dcterms:modified xsi:type="dcterms:W3CDTF">2022-06-03T08:21:00Z</dcterms:modified>
</cp:coreProperties>
</file>