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color w:val="333333"/>
          <w:sz w:val="28"/>
        </w:rPr>
        <w:t>AURIS: A Multi-Model Ensemble Approach for the Detection of AI-Generated Music</w:t>
      </w:r>
    </w:p>
    <w:p>
      <w:pPr>
        <w:spacing w:after="16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22"/>
        </w:rPr>
        <w:t>AURIS: Çoklu-Model Topluluk Yaklaşımı ile Yapay Zekâ Tarafından Üretilen Müziklerin Tespiti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color w:val="333333"/>
          <w:sz w:val="20"/>
        </w:rPr>
        <w:t>Hasan Arthur Altuntaş1,*</w:t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/>
          <w:color w:val="333333"/>
          <w:sz w:val="18"/>
        </w:rPr>
        <w:t>1Department of Computer Engineering, Faculty of Engineering, Düzce University, 81620, Düzce, Türkiye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</w:tcPr>
          <w:p>
            <w:pPr>
              <w:spacing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Highlights:</w:t>
            </w:r>
          </w:p>
          <w:p>
            <w:pPr>
              <w:spacing w:after="4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• End-to-end AI music detection with 47-D acoustic features and 11-model ensemble on 5,195 samples.</w:t>
            </w:r>
          </w:p>
          <w:p>
            <w:pPr>
              <w:spacing w:after="4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• LightGBM achieves 95.48% ROC-AUC with the lowest cross-fold variance (±0.0023).</w:t>
            </w:r>
          </w:p>
          <w:p>
            <w:pPr>
              <w:spacing w:after="4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• Spectral flatness standard deviation is the most informative feature for AI-vs-human distinction.</w:t>
            </w:r>
          </w:p>
          <w:p>
            <w:pPr>
              <w:spacing w:before="16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Keywords: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AI-generated music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Deep learning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Gradient boosting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Ensemble learning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Spectral flatness</w:t>
            </w:r>
          </w:p>
          <w:p>
            <w:pPr>
              <w:spacing w:before="16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Article Info: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Research Article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Received: dd.mm.yyyy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Accepted: dd.mm.yyyy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DOI:</w:t>
            </w:r>
          </w:p>
          <w:p>
            <w:pPr>
              <w:spacing w:before="16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Acknowledgement: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333333"/>
                <w:sz w:val="18"/>
              </w:rPr>
              <w:t>The author received no specific funding for this work.</w:t>
            </w:r>
          </w:p>
          <w:p>
            <w:pPr>
              <w:spacing w:before="16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>Correspondence: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Author: Hasan Arthur Altuntaş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e-mail: hasannarthurrr@gmail.com</w:t>
            </w:r>
          </w:p>
          <w:p>
            <w:pPr>
              <w:spacing w:after="0" w:line="276" w:lineRule="auto"/>
              <w:ind w:left="113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ORCID: 0009-0002-8302-7657</w:t>
            </w:r>
          </w:p>
        </w:tc>
        <w:tc>
          <w:tcPr>
            <w:tcW w:type="dxa" w:w="5669"/>
          </w:tcPr>
          <w:p>
            <w:pPr>
              <w:spacing w:after="8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20"/>
              </w:rPr>
              <w:t>Graphical/Tabular Abstract</w:t>
            </w:r>
          </w:p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20000" cy="19374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per_fold_std_tabl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9374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/>
                <w:color w:val="333333"/>
                <w:sz w:val="16"/>
              </w:rPr>
              <w:t>Figure A. Per-fold ROC-AUC of the eleven models, LightGBM at the top.</w:t>
            </w:r>
          </w:p>
          <w:p>
            <w:pPr>
              <w:spacing w:before="8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 xml:space="preserve">Purpose: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The widespread diffusion of text-to-music generators such as Suno, Udio and MusicGen has created a detection problem of practical importance for copyright attribution and streaming-platform integrity. This study aims to design an end-to-end detection system that distinguishes AI-generated music from human composition with competitive accuracy and operational interpretability.</w:t>
            </w:r>
          </w:p>
          <w:p>
            <w:pPr>
              <w:spacing w:before="8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 xml:space="preserve">Theory and Methods: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 47-dimensional acoustic feature vector covering spectral, temporal, harmonic-tonal, MFCC and vocal families is extracted with librosa. An ensemble of eleven classifiers (Logistic Regression, Random Forest, Gradient Boosting, SVM-RBF, MLP, XGBoost, LightGBM, Deep MLP, 1D-CNN, Residual MLP, Attention MLP) is trained on 5,195 samples from twelve AI generators (Suno, Udio, MusicGen, AudioLDM2, Stable Audio, Riffusion, Mustango, JEN-1, and others) and human sources (GTZAN, FMA, SleepyJesse covers) under stratified 5-fold cross-validation. The Youden-J statistic optimises the decision threshold; Brier score and SHAP analysis are used for calibration and interpretability.</w:t>
            </w:r>
          </w:p>
          <w:p>
            <w:pPr>
              <w:spacing w:before="8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 xml:space="preserve">Results: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LightGBM achieves the highest mean ROC-AUC at 0.9548 with the lowest fold-to-fold standard deviation (±0.0023); its five folds span only 0.9515-0.9580. Deep MLP follows narrowly at 0.9542. Spectral-flatness standard deviation ranks first in feature importance. The Youden-optimal threshold θ* = 0.4316 yields a balanced confusion matrix (TN=2721, FP=392, FN=220, TP=1862) with 89.4% AI sensitivity and 87.4% human specificity. A Brier score of 0.083 confirms well-calibrated probabilities.</w:t>
            </w:r>
          </w:p>
          <w:p>
            <w:pPr>
              <w:spacing w:before="80" w:after="4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333333"/>
                <w:sz w:val="18"/>
              </w:rPr>
              <w:t xml:space="preserve">Conclusion: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333333"/>
                <w:sz w:val="18"/>
              </w:rPr>
              <w:t>AURIS demonstrates that a handcrafted 47-D feature vector with a heterogeneous ensemble is competitive with deep-learning alternatives for AI music detection. Two limitations stand out: tree-based models exhibit an 8-14 percentage-point train-CV accuracy gap, and the bottom 17 features add no measurable accuracy. Future work will pursue cross-generator evaluation on SONICS and FakeMusicCaps, wav2vec2 integration, adversarial-robustness testing, and dataset expansion.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