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i w:val="0"/>
          <w:color w:val="333333"/>
          <w:sz w:val="28"/>
        </w:rPr>
        <w:t>AURIS: Çoklu-Model Topluluk Yaklaşımı ile Yapay Zekâ Tarafından Üretilen Müziklerin Tespiti</w:t>
      </w:r>
    </w:p>
    <w:p>
      <w:pPr>
        <w:spacing w:after="40"/>
        <w:jc w:val="center"/>
      </w:pPr>
      <w:r>
        <w:rPr>
          <w:rFonts w:ascii="Times New Roman" w:hAnsi="Times New Roman" w:cs="Times New Roman" w:eastAsia="Times New Roman"/>
          <w:b/>
          <w:i w:val="0"/>
          <w:color w:val="333333"/>
          <w:sz w:val="22"/>
        </w:rPr>
        <w:t>Hasan Arthur Altuntaş</w:t>
      </w:r>
    </w:p>
    <w:p>
      <w:pPr>
        <w:spacing w:after="320"/>
        <w:jc w:val="center"/>
      </w:pPr>
      <w:r>
        <w:rPr>
          <w:rFonts w:ascii="Times New Roman" w:hAnsi="Times New Roman" w:cs="Times New Roman" w:eastAsia="Times New Roman"/>
          <w:b w:val="0"/>
          <w:i/>
          <w:color w:val="333333"/>
          <w:sz w:val="20"/>
        </w:rPr>
        <w:t>Düzce Üniversitesi, Mühendislik Fakültesi, Bilgisayar Mühendisliği Bölümü, 81620, Düzce, Türkiye</w:t>
      </w:r>
    </w:p>
    <w:p>
      <w:pPr>
        <w:spacing w:before="200" w:after="120" w:line="240" w:lineRule="auto"/>
        <w:jc w:val="left"/>
        <w:keepNext/>
      </w:pPr>
      <w:r>
        <w:rPr>
          <w:rFonts w:ascii="Times New Roman" w:hAnsi="Times New Roman" w:cs="Times New Roman" w:eastAsia="Times New Roman"/>
          <w:b/>
          <w:i/>
          <w:color w:val="333333"/>
          <w:sz w:val="22"/>
        </w:rPr>
        <w:t>Ö N E   Ç I K A N L A R</w:t>
      </w:r>
    </w:p>
    <w:p>
      <w:pPr>
        <w:spacing w:after="60"/>
        <w:ind w:left="283"/>
      </w:pPr>
      <w:r>
        <w:rPr>
          <w:rFonts w:ascii="Times New Roman" w:hAnsi="Times New Roman" w:cs="Times New Roman" w:eastAsia="Times New Roman"/>
          <w:b w:val="0"/>
          <w:i w:val="0"/>
          <w:color w:val="333333"/>
          <w:sz w:val="20"/>
        </w:rPr>
        <w:t>• 5.195 müzik örneği ve 47 boyutlu akustik öznitelik vektörü ile yapay zekâ tarafından üretilen müziği insan kompozisyonundan ayırt eden uçtan-uca bir sistem önerilmiştir.</w:t>
      </w:r>
    </w:p>
    <w:p>
      <w:pPr>
        <w:spacing w:after="60"/>
        <w:ind w:left="283"/>
      </w:pPr>
      <w:r>
        <w:rPr>
          <w:rFonts w:ascii="Times New Roman" w:hAnsi="Times New Roman" w:cs="Times New Roman" w:eastAsia="Times New Roman"/>
          <w:b w:val="0"/>
          <w:i w:val="0"/>
          <w:color w:val="333333"/>
          <w:sz w:val="20"/>
        </w:rPr>
        <w:t>• Yedi makine öğrenmesi ve dört derin öğrenme algoritması, ortak bir 5-katlı çapraz doğrulama protokolü altında karşılaştırılmıştır.</w:t>
      </w:r>
    </w:p>
    <w:p>
      <w:pPr>
        <w:spacing w:after="60"/>
        <w:ind w:left="283"/>
      </w:pPr>
      <w:r>
        <w:rPr>
          <w:rFonts w:ascii="Times New Roman" w:hAnsi="Times New Roman" w:cs="Times New Roman" w:eastAsia="Times New Roman"/>
          <w:b w:val="0"/>
          <w:i w:val="0"/>
          <w:color w:val="333333"/>
          <w:sz w:val="20"/>
        </w:rPr>
        <w:t>• LightGBM, %95,48 ROC-AUC değeri ile en yüksek performansı sergilemiş; her kat arasında yalnızca ±0,0023 standart sapma ile en kararlı modeli oluşturmuştur.</w:t>
      </w:r>
    </w:p>
    <w:p>
      <w:pPr>
        <w:spacing w:after="60"/>
        <w:ind w:left="283"/>
      </w:pPr>
      <w:r>
        <w:rPr>
          <w:rFonts w:ascii="Times New Roman" w:hAnsi="Times New Roman" w:cs="Times New Roman" w:eastAsia="Times New Roman"/>
          <w:b w:val="0"/>
          <w:i w:val="0"/>
          <w:color w:val="333333"/>
          <w:sz w:val="20"/>
        </w:rPr>
        <w:t>• Spektral düzlük (spectral flatness) standart sapması, yapay zekâ-insan ayrımı için en bilgilendirici tek öznitelik olarak tespit edilmiştir.</w:t>
      </w:r>
    </w:p>
    <w:p>
      <w:pPr>
        <w:spacing w:before="200" w:after="120" w:line="240" w:lineRule="auto"/>
        <w:jc w:val="left"/>
        <w:keepNext/>
      </w:pPr>
      <w:r>
        <w:rPr>
          <w:rFonts w:ascii="Times New Roman" w:hAnsi="Times New Roman" w:cs="Times New Roman" w:eastAsia="Times New Roman"/>
          <w:b/>
          <w:i/>
          <w:color w:val="333333"/>
          <w:sz w:val="22"/>
        </w:rPr>
        <w:t>Makale Bilgileri</w:t>
      </w:r>
    </w:p>
    <w:p>
      <w:pPr>
        <w:spacing w:line="240" w:lineRule="auto" w:before="160" w:after="240"/>
        <w:jc w:val="both"/>
      </w:pPr>
      <w:r>
        <w:rPr>
          <w:rFonts w:ascii="Times New Roman" w:hAnsi="Times New Roman" w:cs="Times New Roman" w:eastAsia="Times New Roman"/>
          <w:b w:val="0"/>
          <w:i w:val="0"/>
          <w:color w:val="333333"/>
          <w:sz w:val="20"/>
        </w:rPr>
        <w:t>Araştırma Makalesi  ·  Geliş: 20.05.2026  ·  Anahtar Kelimeler: Yapay zekâ tarafından üretilen müzik, derin öğrenme, gradyan artırma, topluluk öğrenmesi, ses sınıflandırması, spektral düzlük.</w:t>
      </w:r>
    </w:p>
    <w:p>
      <w:pPr>
        <w:spacing w:before="200" w:after="120" w:line="240" w:lineRule="auto"/>
        <w:jc w:val="left"/>
        <w:keepNext/>
      </w:pPr>
      <w:r>
        <w:rPr>
          <w:rFonts w:ascii="Times New Roman" w:hAnsi="Times New Roman" w:cs="Times New Roman" w:eastAsia="Times New Roman"/>
          <w:b/>
          <w:i/>
          <w:color w:val="333333"/>
          <w:sz w:val="22"/>
        </w:rPr>
        <w:t>ÖZ</w:t>
      </w:r>
    </w:p>
    <w:p>
      <w:pPr>
        <w:spacing w:line="240" w:lineRule="auto" w:before="160" w:after="240"/>
        <w:jc w:val="both"/>
      </w:pPr>
      <w:r>
        <w:rPr>
          <w:rFonts w:ascii="Times New Roman" w:hAnsi="Times New Roman" w:cs="Times New Roman" w:eastAsia="Times New Roman"/>
          <w:b w:val="0"/>
          <w:i w:val="0"/>
          <w:color w:val="333333"/>
          <w:sz w:val="20"/>
        </w:rPr>
        <w:t>Suno, Udio ve MusicGen gibi metinden müziğe üreten sistemlerin yaygınlaşması, telif hakları, akış platformlarının bütünlüğü ve sanatçıların ekonomik hakları açısından ciddi bir tespit problemini gündeme getirmiştir. Bu çalışmada, 47 boyutlu elle tasarlanmış bir akustik öznitelik vektörü ile on bir sınıflandırma modelinden oluşan bir topluluk yaklaşımını birleştiren AURIS adlı bir sistem önerilmektedir. Modeller, on iki veya daha fazla yapay zekâ üretici sistemden ve birden çok insan kaynağından (GTZAN, FMA, SleepyJesse kapakları) derlenen 5.195 örneklik bir veri kümesi üzerinde 5-katlı çapraz doğrulama ile eğitilmiştir. LightGBM, %95,48 ROC-AUC (±0,0023) ile en yüksek performansı göstererek hem mevcut en iyi sonucu hem de en düşük katlar-arası varyansı bir araya getirmiştir; Derin ÇKA (Çok Katmanlı Algılayıcı) %95,42 ile çok yakın bir ikinci sıra elde etmiştir. Spektral düzlük standart sapması, öznitelik önem sıralamasında ilk sırada yer almıştır. Youden J kriteri ile optimize edilen θ* = 0,4316 karar eşiği, varsayılan 0,5 eşiğine kıyasla dengeli doğruluğu iyileştirmiştir. Brier skoru 0,083 olarak ölçülmüş ve modelin olasılık çıktılarının iyi kalibre olduğunu doğrulamıştır. Tanı analizi, ağaç-tabanlı tüm modellerin eğitim ve çapraz doğrulama doğruluğu arasında 8-14 puanlık bir fark sergilediğini ve mevcut 47 özniteliğin yaklaşık 17 tanesinin ölçülebilir ek doğruluk sağlamadığını göstermiştir.</w:t>
      </w:r>
    </w:p>
    <w:p>
      <w:pPr>
        <w:spacing w:before="200" w:after="120" w:line="240" w:lineRule="auto"/>
        <w:jc w:val="left"/>
        <w:keepNext/>
      </w:pPr>
      <w:r>
        <w:rPr>
          <w:rFonts w:ascii="Times New Roman" w:hAnsi="Times New Roman" w:cs="Times New Roman" w:eastAsia="Times New Roman"/>
          <w:b/>
          <w:i/>
          <w:color w:val="333333"/>
          <w:sz w:val="22"/>
        </w:rPr>
        <w:t>Anahtar Kelimeler</w:t>
      </w:r>
    </w:p>
    <w:p>
      <w:pPr>
        <w:spacing w:line="240" w:lineRule="auto" w:before="160" w:after="240"/>
        <w:jc w:val="both"/>
      </w:pPr>
      <w:r>
        <w:rPr>
          <w:rFonts w:ascii="Times New Roman" w:hAnsi="Times New Roman" w:cs="Times New Roman" w:eastAsia="Times New Roman"/>
          <w:b w:val="0"/>
          <w:i w:val="0"/>
          <w:color w:val="333333"/>
          <w:sz w:val="20"/>
        </w:rPr>
        <w:t>Yapay zekâ tarafından üretilen müzik · Derin öğrenme · Gradyan artırma · Topluluk öğrenmesi · Ses sınıflandırması · Spektral düzlük</w:t>
      </w:r>
    </w:p>
    <w:p>
      <w:pPr>
        <w:spacing w:before="400" w:after="80"/>
        <w:jc w:val="center"/>
      </w:pPr>
      <w:r>
        <w:rPr>
          <w:rFonts w:ascii="Times New Roman" w:hAnsi="Times New Roman" w:cs="Times New Roman" w:eastAsia="Times New Roman"/>
          <w:b/>
          <w:i/>
          <w:color w:val="333333"/>
          <w:sz w:val="26"/>
        </w:rPr>
        <w:t>AURIS: A Multi-Model Ensemble Approach for the Detection of AI-Generated Music</w:t>
      </w:r>
    </w:p>
    <w:p>
      <w:pPr>
        <w:spacing w:before="200" w:after="120" w:line="240" w:lineRule="auto"/>
        <w:jc w:val="left"/>
        <w:keepNext/>
      </w:pPr>
      <w:r>
        <w:rPr>
          <w:rFonts w:ascii="Times New Roman" w:hAnsi="Times New Roman" w:cs="Times New Roman" w:eastAsia="Times New Roman"/>
          <w:b/>
          <w:i/>
          <w:color w:val="333333"/>
          <w:sz w:val="22"/>
        </w:rPr>
        <w:t>H I G H L I G H T S</w:t>
      </w:r>
    </w:p>
    <w:p>
      <w:pPr>
        <w:spacing w:after="60"/>
        <w:ind w:left="283"/>
      </w:pPr>
      <w:r>
        <w:rPr>
          <w:rFonts w:ascii="Times New Roman" w:hAnsi="Times New Roman" w:cs="Times New Roman" w:eastAsia="Times New Roman"/>
          <w:b w:val="0"/>
          <w:i/>
          <w:color w:val="333333"/>
          <w:sz w:val="20"/>
        </w:rPr>
        <w:t>• An end-to-end system distinguishing AI-generated music from human composition, using a 47-dimensional acoustic feature vector and 5,195 audio samples.</w:t>
      </w:r>
    </w:p>
    <w:p>
      <w:pPr>
        <w:spacing w:after="60"/>
        <w:ind w:left="283"/>
      </w:pPr>
      <w:r>
        <w:rPr>
          <w:rFonts w:ascii="Times New Roman" w:hAnsi="Times New Roman" w:cs="Times New Roman" w:eastAsia="Times New Roman"/>
          <w:b w:val="0"/>
          <w:i/>
          <w:color w:val="333333"/>
          <w:sz w:val="20"/>
        </w:rPr>
        <w:t>• Seven machine learning and four deep learning algorithms compared under a unified 5-fold cross-validation protocol.</w:t>
      </w:r>
    </w:p>
    <w:p>
      <w:pPr>
        <w:spacing w:after="60"/>
        <w:ind w:left="283"/>
      </w:pPr>
      <w:r>
        <w:rPr>
          <w:rFonts w:ascii="Times New Roman" w:hAnsi="Times New Roman" w:cs="Times New Roman" w:eastAsia="Times New Roman"/>
          <w:b w:val="0"/>
          <w:i/>
          <w:color w:val="333333"/>
          <w:sz w:val="20"/>
        </w:rPr>
        <w:t>• LightGBM achieves the top performance with 95.48% ROC-AUC and the lowest cross-fold variance (±0.0023) in the entire pool.</w:t>
      </w:r>
    </w:p>
    <w:p>
      <w:pPr>
        <w:spacing w:after="60"/>
        <w:ind w:left="283"/>
      </w:pPr>
      <w:r>
        <w:rPr>
          <w:rFonts w:ascii="Times New Roman" w:hAnsi="Times New Roman" w:cs="Times New Roman" w:eastAsia="Times New Roman"/>
          <w:b w:val="0"/>
          <w:i/>
          <w:color w:val="333333"/>
          <w:sz w:val="20"/>
        </w:rPr>
        <w:t>• Spectral flatness standard deviation emerges as the single most informative feature for the AI-versus-human distinction.</w:t>
      </w:r>
    </w:p>
    <w:p>
      <w:pPr>
        <w:spacing w:before="200" w:after="120" w:line="240" w:lineRule="auto"/>
        <w:jc w:val="left"/>
        <w:keepNext/>
      </w:pPr>
      <w:r>
        <w:rPr>
          <w:rFonts w:ascii="Times New Roman" w:hAnsi="Times New Roman" w:cs="Times New Roman" w:eastAsia="Times New Roman"/>
          <w:b/>
          <w:i/>
          <w:color w:val="333333"/>
          <w:sz w:val="22"/>
        </w:rPr>
        <w:t>ABSTRACT</w:t>
      </w:r>
    </w:p>
    <w:p>
      <w:pPr>
        <w:spacing w:line="240" w:lineRule="auto" w:before="160" w:after="240"/>
        <w:jc w:val="both"/>
      </w:pPr>
      <w:r>
        <w:rPr>
          <w:rFonts w:ascii="Times New Roman" w:hAnsi="Times New Roman" w:cs="Times New Roman" w:eastAsia="Times New Roman"/>
          <w:b w:val="0"/>
          <w:i w:val="0"/>
          <w:color w:val="333333"/>
          <w:sz w:val="20"/>
        </w:rPr>
        <w:t>The proliferation of text-to-music generators such as Suno, Udio and MusicGen has raised a detection problem of practical importance for copyright attribution, streaming-platform integrity and artist economics. This paper proposes AURIS, a system that couples a 47-dimensional handcrafted acoustic feature vector with an ensemble of eleven classifiers. The models are trained on a dataset of 5,195 samples drawn from twelve or more AI generation systems and multiple human sources (GTZAN, FMA, SleepyJesse covers) under 5-fold cross-validation. LightGBM achieves the top ROC-AUC of 0.9548 (±0.0023), combining the best mean with the lowest cross-fold variance; Deep MLP follows narrowly at 0.9542. Spectral-flatness standard deviation ranks first in feature importance. A Youden-J optimised decision threshold of θ* = 0.4316 improves balanced accuracy over the default 0.5 cutoff. A Brier score of 0.083 confirms that the probability outputs are well calibrated. Diagnostic analysis shows an 8-14 point train-CV accuracy gap for all tree-based models and reveals that roughly 17 of the 47 features contribute no measurable accuracy.</w:t>
      </w:r>
    </w:p>
    <w:p>
      <w:pPr>
        <w:spacing w:before="200" w:after="120" w:line="240" w:lineRule="auto"/>
        <w:jc w:val="left"/>
        <w:keepNext/>
      </w:pPr>
      <w:r>
        <w:rPr>
          <w:rFonts w:ascii="Times New Roman" w:hAnsi="Times New Roman" w:cs="Times New Roman" w:eastAsia="Times New Roman"/>
          <w:b/>
          <w:i/>
          <w:color w:val="333333"/>
          <w:sz w:val="22"/>
        </w:rPr>
        <w:t>Keywords</w:t>
      </w:r>
    </w:p>
    <w:p>
      <w:pPr>
        <w:spacing w:line="240" w:lineRule="auto" w:before="160" w:after="240"/>
        <w:jc w:val="both"/>
      </w:pPr>
      <w:r>
        <w:rPr>
          <w:rFonts w:ascii="Times New Roman" w:hAnsi="Times New Roman" w:cs="Times New Roman" w:eastAsia="Times New Roman"/>
          <w:b w:val="0"/>
          <w:i w:val="0"/>
          <w:color w:val="333333"/>
          <w:sz w:val="20"/>
        </w:rPr>
        <w:t>AI-generated music · Deep learning · Gradient boosting · Ensemble learning · Audio classification · Spectral flatness</w:t>
      </w:r>
    </w:p>
    <w:p>
      <w:pPr>
        <w:sectPr>
          <w:pgSz w:w="11906" w:h="16838"/>
          <w:pgMar w:top="1582" w:right="850" w:bottom="278" w:left="850" w:header="720" w:footer="720" w:gutter="0"/>
          <w:cols w:space="720"/>
          <w:docGrid w:linePitch="360"/>
        </w:sectPr>
      </w:pPr>
    </w:p>
    <w:p>
      <w:pPr>
        <w:spacing w:before="280" w:after="160" w:line="240" w:lineRule="auto"/>
        <w:jc w:val="left"/>
        <w:keepNext/>
      </w:pPr>
      <w:r>
        <w:rPr>
          <w:rFonts w:ascii="Times New Roman" w:hAnsi="Times New Roman" w:cs="Times New Roman" w:eastAsia="Times New Roman"/>
          <w:b/>
          <w:i w:val="0"/>
          <w:color w:val="333333"/>
          <w:sz w:val="24"/>
        </w:rPr>
        <w:t>1. GIRIŞ (INTRODUCTION)</w:t>
      </w:r>
    </w:p>
    <w:p>
      <w:pPr>
        <w:spacing w:line="240" w:lineRule="auto" w:before="160" w:after="240"/>
        <w:jc w:val="both"/>
      </w:pPr>
      <w:r>
        <w:rPr>
          <w:rFonts w:ascii="Times New Roman" w:hAnsi="Times New Roman" w:cs="Times New Roman" w:eastAsia="Times New Roman"/>
          <w:b w:val="0"/>
          <w:i w:val="0"/>
          <w:color w:val="333333"/>
          <w:sz w:val="22"/>
        </w:rPr>
        <w:t>Üretken yapay zekâ (Artificial Intelligence - AI), son üç yıl içinde araştırma ortamlarından tüketici uygulamalarına olağanüstü hızlı bir geçiş yapmıştır. Suno (sürüm 3-5), Udio, Meta'nın MusicGen [1] sistemi ve AudioLDM [2] gibi difüzyon tabanlı modeller, kısa bir metin istemi ile dakikalar mertebesinde tam uzunlukta müzik parçaları üretebilmektedir. Bu parçalar, sıradan bir dinleyici için insan eliyle yapılmış kayıtlardan çoğu zaman ayırt edilemez niteliktedir. Söz konusu durum, ses mühendisliğinin çok ötesinde sorular doğurmaktadır: telif atfı, akış platformu kataloglarının bütünlüğü, oturum müzisyenlerinin hakları ve eğitimcilerin yazarlık üzerine akıl yürütme olanakları.</w:t>
      </w:r>
    </w:p>
    <w:p>
      <w:pPr>
        <w:spacing w:line="240" w:lineRule="auto" w:before="160" w:after="240"/>
        <w:jc w:val="both"/>
      </w:pPr>
      <w:r>
        <w:rPr>
          <w:rFonts w:ascii="Times New Roman" w:hAnsi="Times New Roman" w:cs="Times New Roman" w:eastAsia="Times New Roman"/>
          <w:b w:val="0"/>
          <w:i w:val="0"/>
          <w:color w:val="333333"/>
          <w:sz w:val="22"/>
        </w:rPr>
        <w:t>Konuşma için ses derin sahte tespiti, ADD 2022 [3] gibi yarışmalar ve WaveFake [4] gibi veri kümeleri ile aktif bir araştırma alanı haline gelmiştir; ancak yapay zekâ ile üretilen müziğin tespiti benzer bir gelişim göstermemiştir. Müzik, konuşmadan farklı olarak sabit bir sözlüğe, doğrulanabilir konuşmacı kimliğine veya prozodi izine sahip değildir. Bunun yerine müzik; harmonik karmaşıklık, çokseslilik, perküsyon ve insan stüdyoları ile sentetik üretim hatları arasında geniş bir varyasyon gösteren kayıt artefaktları içermektedir. Konu üzerine yapılan yakın tarihli derlemeler [5,6] alanı henüz oluşum aşamasında olarak nitelemekte ve üretici modeller arası genellemeyi -yani eğitim sırasında görülmemiş sistemlerin ürettiği parçaları tespit edebilme yetisini- temel açık problem olarak işaret etmektedir [5].</w:t>
      </w:r>
    </w:p>
    <w:p>
      <w:pPr>
        <w:spacing w:line="240" w:lineRule="auto" w:before="160" w:after="240"/>
        <w:jc w:val="both"/>
      </w:pPr>
      <w:r>
        <w:rPr>
          <w:rFonts w:ascii="Times New Roman" w:hAnsi="Times New Roman" w:cs="Times New Roman" w:eastAsia="Times New Roman"/>
          <w:b w:val="0"/>
          <w:i w:val="0"/>
          <w:color w:val="333333"/>
          <w:sz w:val="22"/>
        </w:rPr>
        <w:t>Yakın tarihli iki çelişen çalışma bu dengesizliği açıkça ortaya koymaktadır. Afchar vd. [7], IEEE ICASSP 2025'te sunulan çalışmalarında, oto-kodlayıcı artefaktlarını tanımak üzere eğitilen bir tespit sisteminin nöral vokoderlerin spektral kalıntılarını sömürerek %99,8 doğruluğa ulaşabildiğini, ancak aynı sistemin MP3 sıkıştırma veya perde kaydırma altında ciddi şekilde başarısız olduğunu göstermiştir. Kim ve Go [8] ise kısa müzik segmentlerini önceden eğitilmiş bir kodlayıcı ile gömme ve bunları bir transformer başlığı ile birleştirerek bir bütünün yapısal örüntülerini yakalayan Segment Transformer'ı önermiştir. Her iki yön de aynı kabulü paylaşır: hiçbir tek öznitelik ailesi tek başına yeterince sağlam değildir.</w:t>
      </w:r>
    </w:p>
    <w:p>
      <w:pPr>
        <w:spacing w:line="240" w:lineRule="auto" w:before="160" w:after="240"/>
        <w:jc w:val="both"/>
      </w:pPr>
      <w:r>
        <w:rPr>
          <w:rFonts w:ascii="Times New Roman" w:hAnsi="Times New Roman" w:cs="Times New Roman" w:eastAsia="Times New Roman"/>
          <w:b w:val="0"/>
          <w:i w:val="0"/>
          <w:color w:val="333333"/>
          <w:sz w:val="22"/>
        </w:rPr>
        <w:t>AURIS bu iki uç arasında konumlanmaktadır. Sistem, tek bir temsile bağlı kalmak yerine, spektral, zamansal, harmonik ve vokal davranışı özetleyen 47 boyutlu elle tasarlanmış bir öznitelik vektörüne dayanmakta ve bunu kasıtlı olarak heterojen on bir sınıflandırıcıdan oluşan bir havuz ile eşleştirmektedir. Amaç çift yönlüdür: birden çok yapay zekâ üreticisinde rekabetçi tespit doğruluğu elde etmek ve tüketici donanımında konuşlandırma için yorumlanabilir kalmak. Bu makalenin üç temel katkısı şunlardır:</w:t>
      </w:r>
    </w:p>
    <w:p>
      <w:pPr>
        <w:spacing w:after="120"/>
        <w:ind w:left="283"/>
        <w:jc w:val="both"/>
      </w:pPr>
      <w:r>
        <w:rPr>
          <w:rFonts w:ascii="Times New Roman" w:hAnsi="Times New Roman" w:cs="Times New Roman" w:eastAsia="Times New Roman"/>
          <w:b w:val="0"/>
          <w:i w:val="0"/>
          <w:color w:val="333333"/>
          <w:sz w:val="22"/>
        </w:rPr>
        <w:t>(i) Suno, Udio, MusicGen, AudioLDM2 ve diğer altı sistem dahil olmak üzere on iki yapay zekâ üreticisinden ve birden çok insan kaynağından (GTZAN, FMA, SleepyJesse kapakları) toplanan 5.195 örneklik halka açık ve çoğaltılabilir bir veri kümesi.</w:t>
      </w:r>
    </w:p>
    <w:p>
      <w:pPr>
        <w:spacing w:after="120"/>
        <w:ind w:left="283"/>
        <w:jc w:val="both"/>
      </w:pPr>
      <w:r>
        <w:rPr>
          <w:rFonts w:ascii="Times New Roman" w:hAnsi="Times New Roman" w:cs="Times New Roman" w:eastAsia="Times New Roman"/>
          <w:b w:val="0"/>
          <w:i w:val="0"/>
          <w:color w:val="333333"/>
          <w:sz w:val="22"/>
        </w:rPr>
        <w:t>(ii) Yedi makine öğrenmesi (Lojistik Regresyon, Rastgele Orman, Gradyan Artırma, SVM-RBF, ÇKA, XGBoost [9], LightGBM [10]) ve dört derin öğrenme (Deep MLP, 1D-CNN, Residual MLP, Attention MLP) algoritmasının ortak bir 5-katlı çapraz doğrulama protokolü altında karşılaştırılması; LightGBM en yüksek ROC-AUC'ı (%95,48) ve katlar-arası en düşük varyansı (±0,0023) elde etmektedir.</w:t>
      </w:r>
    </w:p>
    <w:p>
      <w:pPr>
        <w:spacing w:after="120"/>
        <w:ind w:left="283"/>
        <w:jc w:val="both"/>
      </w:pPr>
      <w:r>
        <w:rPr>
          <w:rFonts w:ascii="Times New Roman" w:hAnsi="Times New Roman" w:cs="Times New Roman" w:eastAsia="Times New Roman"/>
          <w:b w:val="0"/>
          <w:i w:val="0"/>
          <w:color w:val="333333"/>
          <w:sz w:val="22"/>
        </w:rPr>
        <w:t>(iii) Spektral düzlük standart sapmasının yapay zekâ-insan ayrımı için en bilgilendirici öznitelik olduğunu gösteren SHAP [11] tabanlı bir yorumlanabilirlik analizi; bu sonuç, üretilen ses ile kaydedilmiş ses arasındaki spektral fark açısından açıklanabilirdir.</w:t>
      </w:r>
    </w:p>
    <w:p>
      <w:pPr>
        <w:spacing w:line="240" w:lineRule="auto" w:before="160" w:after="240"/>
        <w:jc w:val="both"/>
      </w:pPr>
      <w:r>
        <w:rPr>
          <w:rFonts w:ascii="Times New Roman" w:hAnsi="Times New Roman" w:cs="Times New Roman" w:eastAsia="Times New Roman"/>
          <w:b w:val="0"/>
          <w:i w:val="0"/>
          <w:color w:val="333333"/>
          <w:sz w:val="22"/>
        </w:rPr>
        <w:t>Bu makalenin geri kalanı şu şekilde yapılandırılmıştır: 1.1-1.5 alt bölümleri ses derin sahte tespiti, transformer tabanlı ses temsilleri, ses için topluluk yöntemleri ve yapay zekâ müzik tespitindeki güncel literatürü gözden geçirir; 2. Bölüm veri kümesini, öznitelik çıkarma boru hattını, on bir sınıflandırma modelini ve eğitim protokolünü tanımlar; 3. Bölüm tüm modeller arasında deneysel sonuçları sunar, öznitelik önemi ile kalibrasyonu yorumlar ve sınırlamaları belirtir; 4. Bölüm gelecek araştırmalar için yönlerle birlikte makaleyi sonlandırır. Sistem https://huggingface.co/spaces/Rtur2003/AURIS adresinde halka açık olarak kullanılabilmektedir.</w:t>
      </w:r>
    </w:p>
    <w:p>
      <w:pPr>
        <w:spacing w:before="200" w:after="120" w:line="240" w:lineRule="auto"/>
        <w:jc w:val="left"/>
        <w:keepNext/>
      </w:pPr>
      <w:r>
        <w:rPr>
          <w:rFonts w:ascii="Times New Roman" w:hAnsi="Times New Roman" w:cs="Times New Roman" w:eastAsia="Times New Roman"/>
          <w:b/>
          <w:i/>
          <w:color w:val="333333"/>
          <w:sz w:val="22"/>
        </w:rPr>
        <w:t>1.1. Konuşma için Ses Derin Sahte Tespiti (Audio Deepfake Detection for Speech)</w:t>
      </w:r>
    </w:p>
    <w:p>
      <w:pPr>
        <w:spacing w:line="240" w:lineRule="auto" w:before="160" w:after="240"/>
        <w:jc w:val="both"/>
      </w:pPr>
      <w:r>
        <w:rPr>
          <w:rFonts w:ascii="Times New Roman" w:hAnsi="Times New Roman" w:cs="Times New Roman" w:eastAsia="Times New Roman"/>
          <w:b w:val="0"/>
          <w:i w:val="0"/>
          <w:color w:val="333333"/>
          <w:sz w:val="22"/>
        </w:rPr>
        <w:t>Konuşma için ses derin sahte tespiti, yapay zekâ ile üretilen müzik tespiti için doğrudan örnek alınan en olgun komşu alandır. ADD 2022 Yarışması [3], bu alanı bir topluluk problemi olarak resmî biçimde kurmuş ve düşük kaliteli sahte ses, kısmi sahte ses ve oyun tabanlı algılama olmak üzere üç ana parça tanımlamıştır. Martín-Doñas ve Álvarez [12] tarafından önerilen Vicomtech sistemi, önceden eğitilmiş wav2vec2 [13] öznitelik çıkarıcısını sınıflandırıcı bir başlık ile birleştirerek bu yarışmada güçlü performans göstermiştir. Yi vd. [6] tarafından yürütülen kapsamlı tarama çalışması, alanın hem teknik hem de etik zorluklarını ayrıntılı biçimde özetlemiştir. WaveFake [4] gibi büyük ölçekli veri kümeleri, vokoder-spesifik artefaktların tespit edilebilirliğini sistematik biçimde incelemek için zemin oluşturmuştur.</w:t>
      </w:r>
    </w:p>
    <w:p>
      <w:pPr>
        <w:spacing w:before="200" w:after="120" w:line="240" w:lineRule="auto"/>
        <w:jc w:val="left"/>
        <w:keepNext/>
      </w:pPr>
      <w:r>
        <w:rPr>
          <w:rFonts w:ascii="Times New Roman" w:hAnsi="Times New Roman" w:cs="Times New Roman" w:eastAsia="Times New Roman"/>
          <w:b/>
          <w:i/>
          <w:color w:val="333333"/>
          <w:sz w:val="22"/>
        </w:rPr>
        <w:t>1.2. Transformer Tabanlı Ses Temsilleri (Transformer-Based Audio Representations)</w:t>
      </w:r>
    </w:p>
    <w:p>
      <w:pPr>
        <w:spacing w:line="240" w:lineRule="auto" w:before="160" w:after="240"/>
        <w:jc w:val="both"/>
      </w:pPr>
      <w:r>
        <w:rPr>
          <w:rFonts w:ascii="Times New Roman" w:hAnsi="Times New Roman" w:cs="Times New Roman" w:eastAsia="Times New Roman"/>
          <w:b w:val="0"/>
          <w:i w:val="0"/>
          <w:color w:val="333333"/>
          <w:sz w:val="22"/>
        </w:rPr>
        <w:t>Transformer temelli kendi-kendine öğrenen ses temsilleri, son beş yıl içinde akustik öznitelik mühendisliğinin bir alternatifi haline gelmiştir. Baevski vd. [13] tarafından önerilen wav2vec 2.0, ham sinyalden ince ayar gerektirmeyen öznitelikler üretmektedir. Elizalde vd. [14] tarafından sunulan CLAP (Contrastive Language-Audio Pretraining), karşıt öğrenme ile ses-metin hizalaması yapmakta ve bu hizalama Wu vd. [15] tarafından geliştirilen büyük ölçekli CLAP varyantında 633.526 ses-metin çiftinden öğrenilmiş daha geniş bir modele genişletilmiştir. Bu modeller, sınıflandırma için doğrudan kullanılmasa da ileri görevlerin temelini sağlamaktadır.</w:t>
      </w:r>
    </w:p>
    <w:p>
      <w:pPr>
        <w:spacing w:before="200" w:after="120" w:line="240" w:lineRule="auto"/>
        <w:jc w:val="left"/>
        <w:keepNext/>
      </w:pPr>
      <w:r>
        <w:rPr>
          <w:rFonts w:ascii="Times New Roman" w:hAnsi="Times New Roman" w:cs="Times New Roman" w:eastAsia="Times New Roman"/>
          <w:b/>
          <w:i/>
          <w:color w:val="333333"/>
          <w:sz w:val="22"/>
        </w:rPr>
        <w:t>1.3. Ses İçin Topluluk Yöntemleri ve Gradyan Artırma (Ensemble Methods and Gradient Boosting for Audio)</w:t>
      </w:r>
    </w:p>
    <w:p>
      <w:pPr>
        <w:spacing w:line="240" w:lineRule="auto" w:before="160" w:after="240"/>
        <w:jc w:val="both"/>
      </w:pPr>
      <w:r>
        <w:rPr>
          <w:rFonts w:ascii="Times New Roman" w:hAnsi="Times New Roman" w:cs="Times New Roman" w:eastAsia="Times New Roman"/>
          <w:b w:val="0"/>
          <w:i w:val="0"/>
          <w:color w:val="333333"/>
          <w:sz w:val="22"/>
        </w:rPr>
        <w:t>Topluluk öğrenmesi, ses sınıflandırma alanında istikrarlı biçimde rekabetçi sonuçlar üretmektedir. Liu vd. [16] tarafından önerilen XGBoost tabanlı müzikal enstrüman tanıma sistemi, çoklu öznitelik füzyonu ile yüksek doğruluk elde etmiştir. Gan vd. [17] tarafından sunulan VMD-IWOA-XGBoost modeli, GTZAN ve Bangla veri kümeleri üzerinde diğer modelleri beş değerlendirme kriterinde geride bırakmıştır. Türkçe literatürde, Hızlısoy ve Tüfekci [18] derin öğrenme ile Türkçe müziklerin tür sınıflandırması için CNN tabanlı bir mimari önermiş ve yeni bir Türkçe müzik veri tabanı oluşturmuştur. Özbalcı vd. [19], GTZAN veri kümesi üzerinde Rastgele Orman, SVM ve YSA algoritmalarının karşılaştırmalı değerlendirmesini gerçekleştirerek Rastgele Orman ile %81 doğruluk elde etmişlerdir. Turan ve Polat [20] ise yarı-denetimli makine öğrenmesi yöntemleri kullanarak müzik türlerinin tespitini incelemişlerdir. Kostrzewa vd. [21] tarafından önerilen geniş sinir ağı toplulukları yaklaşımı, müzik tür sınıflandırmasında tek modellerden daha iyi performans göstermiştir. Gourisaria vd. [22], MFCC ve STFT özniteliklerinin karşılaştırmalı analizini yaparak ses sınıflandırması için en uygun temsil yöntemini araştırmışlardır.</w:t>
      </w:r>
    </w:p>
    <w:p>
      <w:pPr>
        <w:spacing w:before="200" w:after="120" w:line="240" w:lineRule="auto"/>
        <w:jc w:val="left"/>
        <w:keepNext/>
      </w:pPr>
      <w:r>
        <w:rPr>
          <w:rFonts w:ascii="Times New Roman" w:hAnsi="Times New Roman" w:cs="Times New Roman" w:eastAsia="Times New Roman"/>
          <w:b/>
          <w:i/>
          <w:color w:val="333333"/>
          <w:sz w:val="22"/>
        </w:rPr>
        <w:t>1.4. Yapay Zekâ Müzik Üretici Sistemleri (AI Music Generation Systems)</w:t>
      </w:r>
    </w:p>
    <w:p>
      <w:pPr>
        <w:spacing w:line="240" w:lineRule="auto" w:before="160" w:after="240"/>
        <w:jc w:val="both"/>
      </w:pPr>
      <w:r>
        <w:rPr>
          <w:rFonts w:ascii="Times New Roman" w:hAnsi="Times New Roman" w:cs="Times New Roman" w:eastAsia="Times New Roman"/>
          <w:b w:val="0"/>
          <w:i w:val="0"/>
          <w:color w:val="333333"/>
          <w:sz w:val="22"/>
        </w:rPr>
        <w:t>Yapay zekâ müzik üretim sistemleri, tespit problemini doğrudan şekillendiren teknik çeşitliliği göstermektedir. Copet vd. [1] tarafından geliştirilen MusicGen, metne koşullu sıkıştırılmış ses tokenleri üzerinde çalışan tek aşamalı bir transformer dil modeli kullanmaktadır. Liu vd. [2] tarafından önerilen AudioLDM, metinden sese üretim için CLAP gömmelerini koşullandırma sinyali olarak kullanan bir gizil difüzyon modelidir. Suno ve Udio gibi ticari ürünler altta yatan mimarilerini açıklamamıştır; ancak çıktılarının sürümler arasında ölçülen spektral özellikleri, dağılımsal olarak gözlemlenebilir tutarlı bir izleyiş kalıbı üretmektedir.</w:t>
      </w:r>
    </w:p>
    <w:p>
      <w:pPr>
        <w:spacing w:before="200" w:after="120" w:line="240" w:lineRule="auto"/>
        <w:jc w:val="left"/>
        <w:keepNext/>
      </w:pPr>
      <w:r>
        <w:rPr>
          <w:rFonts w:ascii="Times New Roman" w:hAnsi="Times New Roman" w:cs="Times New Roman" w:eastAsia="Times New Roman"/>
          <w:b/>
          <w:i/>
          <w:color w:val="333333"/>
          <w:sz w:val="22"/>
        </w:rPr>
        <w:t>1.5. Yapay Zekâ Müzik Tespitinde Güncel Gelişmeler (2024-2025) (Recent Advances in AI Music Detection (2024-2025))</w:t>
      </w:r>
    </w:p>
    <w:p>
      <w:pPr>
        <w:spacing w:line="240" w:lineRule="auto" w:before="160" w:after="240"/>
        <w:jc w:val="both"/>
      </w:pPr>
      <w:r>
        <w:rPr>
          <w:rFonts w:ascii="Times New Roman" w:hAnsi="Times New Roman" w:cs="Times New Roman" w:eastAsia="Times New Roman"/>
          <w:b w:val="0"/>
          <w:i w:val="0"/>
          <w:color w:val="333333"/>
          <w:sz w:val="22"/>
        </w:rPr>
        <w:t>En doğrudan ilgili çalışmalar 2024-2025 arasında yayımlanmıştır. Li vd. [5] ses derin sahte tespiti metodolojisini gelişmekte olan yapay zekâ müzik tespiti alanına bağlayan bir yol haritası ve genel bakış sunmuş, aktarılabilir öznitelikleri kataloglamış ve alan-içi boşlukları tanımlamıştır; aynı çalışma, üretici modeller arası genellemeyi alanın birincil açık problemi olarak vurgulamıştır. Afchar vd. [7], ICASSP 2025 makalelerinde, oto-kodlayıcı artefaktlarına eğitilen tespit sistemlerinin nöral vokoderlerin spektral artıkları sayesinde %99,8 doğruluğa ulaşabileceğini göstermiştir. Kim ve Go [8] tarafından önerilen Segment Transformer, kısa müzik segmentlerini bir transformer başlığı ile işleyen ve kendi-kendine öğrenen önceden eğitilmiş temsilleri yapısal örüntüleri yakalamak için entegre eden bir mimaridir. Rahman vd. [23] tarafından geliştirilen SONICS veri kümesi, 97.000'den fazla şarkı ve 49.000'den fazla Suno/Udio kaynaklı sentetik şarkı içermekte ve uçtan-uca sentetik şarkı tespiti için geniş ölçekli bir referans kıyaslama oluşturmaktadır. Comanducci vd. [24] tarafından geliştirilen FakeMusicCaps veri kümesi ise beş farklı metinden-müziğe modeli ile yeniden üretilmiş MusicCaps eşlemelerinden oluşmakta ve hem tespit hem de atıflandırma deneyleri için temel oluşturmaktadır. Pascu vd. [25] tarafından önerilen Echoes veri kümesi, on popüler yapay zekâ müzik üretim sistemi tarafından üretilen anlamsal-hizalı içerik içermektedir. Sunday [26], FakeMusicCaps üzerinde CNN tabanlı tespitin tempo gerdirme ve perde kaydırma altındaki performansını ölçmüştür; Sroka vd. [27] ise ses büyütmeleri altında sahte müzik tespit performansının sistematik değerlendirmesini gerçekleştirmiştir. Bu çalışmaların ortak bulgusu, hiçbir tek mimari ailesinin hem üretici modeller arası genellemeyi hem de düşmanca güçlendirilmiş sinyallere karşı sağlamlığı tek başına sağlayamadığıdır. Tablo 1, AURIS ile karşılaştırma için ilgili çalışmaların özetini sunmaktadır.</w:t>
      </w:r>
    </w:p>
    <w:p>
      <w:pPr>
        <w:spacing w:before="200" w:after="40"/>
        <w:jc w:val="center"/>
        <w:keepNext/>
      </w:pPr>
      <w:r>
        <w:rPr>
          <w:rFonts w:ascii="Times New Roman" w:hAnsi="Times New Roman" w:cs="Times New Roman" w:eastAsia="Times New Roman"/>
          <w:b w:val="0"/>
          <w:i/>
          <w:color w:val="333333"/>
          <w:sz w:val="22"/>
        </w:rPr>
        <w:t>Tablo 1. Yapay zekâ müzik tespiti alanındaki ilgili çalışmaların genel bakışı</w:t>
      </w:r>
    </w:p>
    <w:p>
      <w:pPr>
        <w:spacing w:before="0" w:after="80"/>
        <w:jc w:val="center"/>
        <w:keepNext/>
      </w:pPr>
      <w:r>
        <w:rPr>
          <w:rFonts w:ascii="Times New Roman" w:hAnsi="Times New Roman" w:cs="Times New Roman" w:eastAsia="Times New Roman"/>
          <w:b w:val="0"/>
          <w:i/>
          <w:color w:val="666666"/>
          <w:sz w:val="22"/>
        </w:rPr>
        <w:t>(Overview of related works in AI-generated music detection)</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C99347"/>
          </w:tcPr>
          <w:p>
            <w:pPr>
              <w:jc w:val="center"/>
            </w:pPr>
            <w:r/>
            <w:r>
              <w:rPr>
                <w:rFonts w:ascii="Times New Roman" w:hAnsi="Times New Roman" w:cs="Times New Roman" w:eastAsia="Times New Roman"/>
                <w:b/>
                <w:i w:val="0"/>
                <w:color w:val="FFFFFF"/>
                <w:sz w:val="20"/>
              </w:rPr>
              <w:t>Çalışma</w:t>
            </w:r>
          </w:p>
        </w:tc>
        <w:tc>
          <w:tcPr>
            <w:tcW w:type="dxa" w:w="2041"/>
            <w:shd w:val="clear" w:color="auto" w:fill="C99347"/>
          </w:tcPr>
          <w:p>
            <w:pPr>
              <w:jc w:val="center"/>
            </w:pPr>
            <w:r/>
            <w:r>
              <w:rPr>
                <w:rFonts w:ascii="Times New Roman" w:hAnsi="Times New Roman" w:cs="Times New Roman" w:eastAsia="Times New Roman"/>
                <w:b/>
                <w:i w:val="0"/>
                <w:color w:val="FFFFFF"/>
                <w:sz w:val="20"/>
              </w:rPr>
              <w:t>Veri Kümesi</w:t>
            </w:r>
          </w:p>
        </w:tc>
        <w:tc>
          <w:tcPr>
            <w:tcW w:type="dxa" w:w="2041"/>
            <w:shd w:val="clear" w:color="auto" w:fill="C99347"/>
          </w:tcPr>
          <w:p>
            <w:pPr>
              <w:jc w:val="center"/>
            </w:pPr>
            <w:r/>
            <w:r>
              <w:rPr>
                <w:rFonts w:ascii="Times New Roman" w:hAnsi="Times New Roman" w:cs="Times New Roman" w:eastAsia="Times New Roman"/>
                <w:b/>
                <w:i w:val="0"/>
                <w:color w:val="FFFFFF"/>
                <w:sz w:val="20"/>
              </w:rPr>
              <w:t>Kullanılan Metot(lar)</w:t>
            </w:r>
          </w:p>
        </w:tc>
        <w:tc>
          <w:tcPr>
            <w:tcW w:type="dxa" w:w="2041"/>
            <w:shd w:val="clear" w:color="auto" w:fill="C99347"/>
          </w:tcPr>
          <w:p>
            <w:pPr>
              <w:jc w:val="center"/>
            </w:pPr>
            <w:r/>
            <w:r>
              <w:rPr>
                <w:rFonts w:ascii="Times New Roman" w:hAnsi="Times New Roman" w:cs="Times New Roman" w:eastAsia="Times New Roman"/>
                <w:b/>
                <w:i w:val="0"/>
                <w:color w:val="FFFFFF"/>
                <w:sz w:val="20"/>
              </w:rPr>
              <w:t>Değerlendirme</w:t>
            </w:r>
          </w:p>
        </w:tc>
        <w:tc>
          <w:tcPr>
            <w:tcW w:type="dxa" w:w="2041"/>
            <w:shd w:val="clear" w:color="auto" w:fill="C99347"/>
          </w:tcPr>
          <w:p>
            <w:pPr>
              <w:jc w:val="center"/>
            </w:pPr>
            <w:r/>
            <w:r>
              <w:rPr>
                <w:rFonts w:ascii="Times New Roman" w:hAnsi="Times New Roman" w:cs="Times New Roman" w:eastAsia="Times New Roman"/>
                <w:b/>
                <w:i w:val="0"/>
                <w:color w:val="FFFFFF"/>
                <w:sz w:val="20"/>
              </w:rPr>
              <w:t>En İyi Sonuç</w:t>
            </w:r>
          </w:p>
        </w:tc>
      </w:tr>
      <w:tr>
        <w:tc>
          <w:tcPr>
            <w:tcW w:type="dxa" w:w="2041"/>
            <w:shd w:val="clear" w:color="auto" w:fill="FFFFFF"/>
          </w:tcPr>
          <w:p>
            <w:pPr>
              <w:jc w:val="center"/>
            </w:pPr>
            <w:r/>
            <w:r>
              <w:rPr>
                <w:rFonts w:ascii="Times New Roman" w:hAnsi="Times New Roman" w:cs="Times New Roman" w:eastAsia="Times New Roman"/>
                <w:b w:val="0"/>
                <w:i w:val="0"/>
                <w:color w:val="333333"/>
                <w:sz w:val="20"/>
              </w:rPr>
              <w:t>Afchar vd. [7]</w:t>
            </w:r>
          </w:p>
        </w:tc>
        <w:tc>
          <w:tcPr>
            <w:tcW w:type="dxa" w:w="2041"/>
            <w:shd w:val="clear" w:color="auto" w:fill="FFFFFF"/>
          </w:tcPr>
          <w:p>
            <w:pPr>
              <w:jc w:val="center"/>
            </w:pPr>
            <w:r/>
            <w:r>
              <w:rPr>
                <w:rFonts w:ascii="Times New Roman" w:hAnsi="Times New Roman" w:cs="Times New Roman" w:eastAsia="Times New Roman"/>
                <w:b w:val="0"/>
                <w:i w:val="0"/>
                <w:color w:val="333333"/>
                <w:sz w:val="20"/>
              </w:rPr>
              <w:t>Özel (Suno + insan)</w:t>
            </w:r>
          </w:p>
        </w:tc>
        <w:tc>
          <w:tcPr>
            <w:tcW w:type="dxa" w:w="2041"/>
            <w:shd w:val="clear" w:color="auto" w:fill="FFFFFF"/>
          </w:tcPr>
          <w:p>
            <w:pPr>
              <w:jc w:val="center"/>
            </w:pPr>
            <w:r/>
            <w:r>
              <w:rPr>
                <w:rFonts w:ascii="Times New Roman" w:hAnsi="Times New Roman" w:cs="Times New Roman" w:eastAsia="Times New Roman"/>
                <w:b w:val="0"/>
                <w:i w:val="0"/>
                <w:color w:val="333333"/>
                <w:sz w:val="20"/>
              </w:rPr>
              <w:t>wav2vec2 + sınıflandırıcı başlık</w:t>
            </w:r>
          </w:p>
        </w:tc>
        <w:tc>
          <w:tcPr>
            <w:tcW w:type="dxa" w:w="2041"/>
            <w:shd w:val="clear" w:color="auto" w:fill="FFFFFF"/>
          </w:tcPr>
          <w:p>
            <w:pPr>
              <w:jc w:val="center"/>
            </w:pPr>
            <w:r/>
            <w:r>
              <w:rPr>
                <w:rFonts w:ascii="Times New Roman" w:hAnsi="Times New Roman" w:cs="Times New Roman" w:eastAsia="Times New Roman"/>
                <w:b w:val="0"/>
                <w:i w:val="0"/>
                <w:color w:val="333333"/>
                <w:sz w:val="20"/>
              </w:rPr>
              <w:t>Doğruluk, AUC</w:t>
            </w:r>
          </w:p>
        </w:tc>
        <w:tc>
          <w:tcPr>
            <w:tcW w:type="dxa" w:w="2041"/>
            <w:shd w:val="clear" w:color="auto" w:fill="FFFFFF"/>
          </w:tcPr>
          <w:p>
            <w:pPr>
              <w:jc w:val="center"/>
            </w:pPr>
            <w:r/>
            <w:r>
              <w:rPr>
                <w:rFonts w:ascii="Times New Roman" w:hAnsi="Times New Roman" w:cs="Times New Roman" w:eastAsia="Times New Roman"/>
                <w:b w:val="0"/>
                <w:i w:val="0"/>
                <w:color w:val="333333"/>
                <w:sz w:val="20"/>
              </w:rPr>
              <w:t>%99,8 (yumuşatılmamış)</w:t>
            </w:r>
          </w:p>
        </w:tc>
      </w:tr>
      <w:tr>
        <w:tc>
          <w:tcPr>
            <w:tcW w:type="dxa" w:w="2041"/>
            <w:shd w:val="clear" w:color="auto" w:fill="F5F0E8"/>
          </w:tcPr>
          <w:p>
            <w:pPr>
              <w:jc w:val="center"/>
            </w:pPr>
            <w:r/>
            <w:r>
              <w:rPr>
                <w:rFonts w:ascii="Times New Roman" w:hAnsi="Times New Roman" w:cs="Times New Roman" w:eastAsia="Times New Roman"/>
                <w:b w:val="0"/>
                <w:i w:val="0"/>
                <w:color w:val="333333"/>
                <w:sz w:val="20"/>
              </w:rPr>
              <w:t>Kim ve Go [8]</w:t>
            </w:r>
          </w:p>
        </w:tc>
        <w:tc>
          <w:tcPr>
            <w:tcW w:type="dxa" w:w="2041"/>
            <w:shd w:val="clear" w:color="auto" w:fill="F5F0E8"/>
          </w:tcPr>
          <w:p>
            <w:pPr>
              <w:jc w:val="center"/>
            </w:pPr>
            <w:r/>
            <w:r>
              <w:rPr>
                <w:rFonts w:ascii="Times New Roman" w:hAnsi="Times New Roman" w:cs="Times New Roman" w:eastAsia="Times New Roman"/>
                <w:b w:val="0"/>
                <w:i w:val="0"/>
                <w:color w:val="333333"/>
                <w:sz w:val="20"/>
              </w:rPr>
              <w:t>FakeMusicCaps + SONICS</w:t>
            </w:r>
          </w:p>
        </w:tc>
        <w:tc>
          <w:tcPr>
            <w:tcW w:type="dxa" w:w="2041"/>
            <w:shd w:val="clear" w:color="auto" w:fill="F5F0E8"/>
          </w:tcPr>
          <w:p>
            <w:pPr>
              <w:jc w:val="center"/>
            </w:pPr>
            <w:r/>
            <w:r>
              <w:rPr>
                <w:rFonts w:ascii="Times New Roman" w:hAnsi="Times New Roman" w:cs="Times New Roman" w:eastAsia="Times New Roman"/>
                <w:b w:val="0"/>
                <w:i w:val="0"/>
                <w:color w:val="333333"/>
                <w:sz w:val="20"/>
              </w:rPr>
              <w:t>Segment Transformer (SSL + transformer)</w:t>
            </w:r>
          </w:p>
        </w:tc>
        <w:tc>
          <w:tcPr>
            <w:tcW w:type="dxa" w:w="2041"/>
            <w:shd w:val="clear" w:color="auto" w:fill="F5F0E8"/>
          </w:tcPr>
          <w:p>
            <w:pPr>
              <w:jc w:val="center"/>
            </w:pPr>
            <w:r/>
            <w:r>
              <w:rPr>
                <w:rFonts w:ascii="Times New Roman" w:hAnsi="Times New Roman" w:cs="Times New Roman" w:eastAsia="Times New Roman"/>
                <w:b w:val="0"/>
                <w:i w:val="0"/>
                <w:color w:val="333333"/>
                <w:sz w:val="20"/>
              </w:rPr>
              <w:t>Doğruluk, F1</w:t>
            </w:r>
          </w:p>
        </w:tc>
        <w:tc>
          <w:tcPr>
            <w:tcW w:type="dxa" w:w="2041"/>
            <w:shd w:val="clear" w:color="auto" w:fill="F5F0E8"/>
          </w:tcPr>
          <w:p>
            <w:pPr>
              <w:jc w:val="center"/>
            </w:pPr>
            <w:r/>
            <w:r>
              <w:rPr>
                <w:rFonts w:ascii="Times New Roman" w:hAnsi="Times New Roman" w:cs="Times New Roman" w:eastAsia="Times New Roman"/>
                <w:b w:val="0"/>
                <w:i w:val="0"/>
                <w:color w:val="333333"/>
                <w:sz w:val="20"/>
              </w:rPr>
              <w:t>%91+ (segment)</w:t>
            </w:r>
          </w:p>
        </w:tc>
      </w:tr>
      <w:tr>
        <w:tc>
          <w:tcPr>
            <w:tcW w:type="dxa" w:w="2041"/>
            <w:shd w:val="clear" w:color="auto" w:fill="FFFFFF"/>
          </w:tcPr>
          <w:p>
            <w:pPr>
              <w:jc w:val="center"/>
            </w:pPr>
            <w:r/>
            <w:r>
              <w:rPr>
                <w:rFonts w:ascii="Times New Roman" w:hAnsi="Times New Roman" w:cs="Times New Roman" w:eastAsia="Times New Roman"/>
                <w:b w:val="0"/>
                <w:i w:val="0"/>
                <w:color w:val="333333"/>
                <w:sz w:val="20"/>
              </w:rPr>
              <w:t>Rahman vd. [23]</w:t>
            </w:r>
          </w:p>
        </w:tc>
        <w:tc>
          <w:tcPr>
            <w:tcW w:type="dxa" w:w="2041"/>
            <w:shd w:val="clear" w:color="auto" w:fill="FFFFFF"/>
          </w:tcPr>
          <w:p>
            <w:pPr>
              <w:jc w:val="center"/>
            </w:pPr>
            <w:r/>
            <w:r>
              <w:rPr>
                <w:rFonts w:ascii="Times New Roman" w:hAnsi="Times New Roman" w:cs="Times New Roman" w:eastAsia="Times New Roman"/>
                <w:b w:val="0"/>
                <w:i w:val="0"/>
                <w:color w:val="333333"/>
                <w:sz w:val="20"/>
              </w:rPr>
              <w:t>SONICS (97K şarkı)</w:t>
            </w:r>
          </w:p>
        </w:tc>
        <w:tc>
          <w:tcPr>
            <w:tcW w:type="dxa" w:w="2041"/>
            <w:shd w:val="clear" w:color="auto" w:fill="FFFFFF"/>
          </w:tcPr>
          <w:p>
            <w:pPr>
              <w:jc w:val="center"/>
            </w:pPr>
            <w:r/>
            <w:r>
              <w:rPr>
                <w:rFonts w:ascii="Times New Roman" w:hAnsi="Times New Roman" w:cs="Times New Roman" w:eastAsia="Times New Roman"/>
                <w:b w:val="0"/>
                <w:i w:val="0"/>
                <w:color w:val="333333"/>
                <w:sz w:val="20"/>
              </w:rPr>
              <w:t>SpecTTTra (verimli transformer)</w:t>
            </w:r>
          </w:p>
        </w:tc>
        <w:tc>
          <w:tcPr>
            <w:tcW w:type="dxa" w:w="2041"/>
            <w:shd w:val="clear" w:color="auto" w:fill="FFFFFF"/>
          </w:tcPr>
          <w:p>
            <w:pPr>
              <w:jc w:val="center"/>
            </w:pPr>
            <w:r/>
            <w:r>
              <w:rPr>
                <w:rFonts w:ascii="Times New Roman" w:hAnsi="Times New Roman" w:cs="Times New Roman" w:eastAsia="Times New Roman"/>
                <w:b w:val="0"/>
                <w:i w:val="0"/>
                <w:color w:val="333333"/>
                <w:sz w:val="20"/>
              </w:rPr>
              <w:t>F1, AUC</w:t>
            </w:r>
          </w:p>
        </w:tc>
        <w:tc>
          <w:tcPr>
            <w:tcW w:type="dxa" w:w="2041"/>
            <w:shd w:val="clear" w:color="auto" w:fill="FFFFFF"/>
          </w:tcPr>
          <w:p>
            <w:pPr>
              <w:jc w:val="center"/>
            </w:pPr>
            <w:r/>
            <w:r>
              <w:rPr>
                <w:rFonts w:ascii="Times New Roman" w:hAnsi="Times New Roman" w:cs="Times New Roman" w:eastAsia="Times New Roman"/>
                <w:b w:val="0"/>
                <w:i w:val="0"/>
                <w:color w:val="333333"/>
                <w:sz w:val="20"/>
              </w:rPr>
              <w:t>Rekabetçi, 6× daha az bellek</w:t>
            </w:r>
          </w:p>
        </w:tc>
      </w:tr>
      <w:tr>
        <w:tc>
          <w:tcPr>
            <w:tcW w:type="dxa" w:w="2041"/>
            <w:shd w:val="clear" w:color="auto" w:fill="F5F0E8"/>
          </w:tcPr>
          <w:p>
            <w:pPr>
              <w:jc w:val="center"/>
            </w:pPr>
            <w:r/>
            <w:r>
              <w:rPr>
                <w:rFonts w:ascii="Times New Roman" w:hAnsi="Times New Roman" w:cs="Times New Roman" w:eastAsia="Times New Roman"/>
                <w:b w:val="0"/>
                <w:i w:val="0"/>
                <w:color w:val="333333"/>
                <w:sz w:val="20"/>
              </w:rPr>
              <w:t>Comanducci vd. [24]</w:t>
            </w:r>
          </w:p>
        </w:tc>
        <w:tc>
          <w:tcPr>
            <w:tcW w:type="dxa" w:w="2041"/>
            <w:shd w:val="clear" w:color="auto" w:fill="F5F0E8"/>
          </w:tcPr>
          <w:p>
            <w:pPr>
              <w:jc w:val="center"/>
            </w:pPr>
            <w:r/>
            <w:r>
              <w:rPr>
                <w:rFonts w:ascii="Times New Roman" w:hAnsi="Times New Roman" w:cs="Times New Roman" w:eastAsia="Times New Roman"/>
                <w:b w:val="0"/>
                <w:i w:val="0"/>
                <w:color w:val="333333"/>
                <w:sz w:val="20"/>
              </w:rPr>
              <w:t>FakeMusicCaps</w:t>
            </w:r>
          </w:p>
        </w:tc>
        <w:tc>
          <w:tcPr>
            <w:tcW w:type="dxa" w:w="2041"/>
            <w:shd w:val="clear" w:color="auto" w:fill="F5F0E8"/>
          </w:tcPr>
          <w:p>
            <w:pPr>
              <w:jc w:val="center"/>
            </w:pPr>
            <w:r/>
            <w:r>
              <w:rPr>
                <w:rFonts w:ascii="Times New Roman" w:hAnsi="Times New Roman" w:cs="Times New Roman" w:eastAsia="Times New Roman"/>
                <w:b w:val="0"/>
                <w:i w:val="0"/>
                <w:color w:val="333333"/>
                <w:sz w:val="20"/>
              </w:rPr>
              <w:t>CNN + MFCC</w:t>
            </w:r>
          </w:p>
        </w:tc>
        <w:tc>
          <w:tcPr>
            <w:tcW w:type="dxa" w:w="2041"/>
            <w:shd w:val="clear" w:color="auto" w:fill="F5F0E8"/>
          </w:tcPr>
          <w:p>
            <w:pPr>
              <w:jc w:val="center"/>
            </w:pPr>
            <w:r/>
            <w:r>
              <w:rPr>
                <w:rFonts w:ascii="Times New Roman" w:hAnsi="Times New Roman" w:cs="Times New Roman" w:eastAsia="Times New Roman"/>
                <w:b w:val="0"/>
                <w:i w:val="0"/>
                <w:color w:val="333333"/>
                <w:sz w:val="20"/>
              </w:rPr>
              <w:t>Doğruluk</w:t>
            </w:r>
          </w:p>
        </w:tc>
        <w:tc>
          <w:tcPr>
            <w:tcW w:type="dxa" w:w="2041"/>
            <w:shd w:val="clear" w:color="auto" w:fill="F5F0E8"/>
          </w:tcPr>
          <w:p>
            <w:pPr>
              <w:jc w:val="center"/>
            </w:pPr>
            <w:r/>
            <w:r>
              <w:rPr>
                <w:rFonts w:ascii="Times New Roman" w:hAnsi="Times New Roman" w:cs="Times New Roman" w:eastAsia="Times New Roman"/>
                <w:b w:val="0"/>
                <w:i w:val="0"/>
                <w:color w:val="333333"/>
                <w:sz w:val="20"/>
              </w:rPr>
              <w:t>İlk referans değerleri</w:t>
            </w:r>
          </w:p>
        </w:tc>
      </w:tr>
      <w:tr>
        <w:tc>
          <w:tcPr>
            <w:tcW w:type="dxa" w:w="2041"/>
            <w:shd w:val="clear" w:color="auto" w:fill="FFFFFF"/>
          </w:tcPr>
          <w:p>
            <w:pPr>
              <w:jc w:val="center"/>
            </w:pPr>
            <w:r/>
            <w:r>
              <w:rPr>
                <w:rFonts w:ascii="Times New Roman" w:hAnsi="Times New Roman" w:cs="Times New Roman" w:eastAsia="Times New Roman"/>
                <w:b w:val="0"/>
                <w:i w:val="0"/>
                <w:color w:val="333333"/>
                <w:sz w:val="20"/>
              </w:rPr>
              <w:t>Sunday [26]</w:t>
            </w:r>
          </w:p>
        </w:tc>
        <w:tc>
          <w:tcPr>
            <w:tcW w:type="dxa" w:w="2041"/>
            <w:shd w:val="clear" w:color="auto" w:fill="FFFFFF"/>
          </w:tcPr>
          <w:p>
            <w:pPr>
              <w:jc w:val="center"/>
            </w:pPr>
            <w:r/>
            <w:r>
              <w:rPr>
                <w:rFonts w:ascii="Times New Roman" w:hAnsi="Times New Roman" w:cs="Times New Roman" w:eastAsia="Times New Roman"/>
                <w:b w:val="0"/>
                <w:i w:val="0"/>
                <w:color w:val="333333"/>
                <w:sz w:val="20"/>
              </w:rPr>
              <w:t>FakeMusicCaps + ses büyütmeleri</w:t>
            </w:r>
          </w:p>
        </w:tc>
        <w:tc>
          <w:tcPr>
            <w:tcW w:type="dxa" w:w="2041"/>
            <w:shd w:val="clear" w:color="auto" w:fill="FFFFFF"/>
          </w:tcPr>
          <w:p>
            <w:pPr>
              <w:jc w:val="center"/>
            </w:pPr>
            <w:r/>
            <w:r>
              <w:rPr>
                <w:rFonts w:ascii="Times New Roman" w:hAnsi="Times New Roman" w:cs="Times New Roman" w:eastAsia="Times New Roman"/>
                <w:b w:val="0"/>
                <w:i w:val="0"/>
                <w:color w:val="333333"/>
                <w:sz w:val="20"/>
              </w:rPr>
              <w:t>CNN üzerinde Mel-spektrogram</w:t>
            </w:r>
          </w:p>
        </w:tc>
        <w:tc>
          <w:tcPr>
            <w:tcW w:type="dxa" w:w="2041"/>
            <w:shd w:val="clear" w:color="auto" w:fill="FFFFFF"/>
          </w:tcPr>
          <w:p>
            <w:pPr>
              <w:jc w:val="center"/>
            </w:pPr>
            <w:r/>
            <w:r>
              <w:rPr>
                <w:rFonts w:ascii="Times New Roman" w:hAnsi="Times New Roman" w:cs="Times New Roman" w:eastAsia="Times New Roman"/>
                <w:b w:val="0"/>
                <w:i w:val="0"/>
                <w:color w:val="333333"/>
                <w:sz w:val="20"/>
              </w:rPr>
              <w:t>Doğruluk</w:t>
            </w:r>
          </w:p>
        </w:tc>
        <w:tc>
          <w:tcPr>
            <w:tcW w:type="dxa" w:w="2041"/>
            <w:shd w:val="clear" w:color="auto" w:fill="FFFFFF"/>
          </w:tcPr>
          <w:p>
            <w:pPr>
              <w:jc w:val="center"/>
            </w:pPr>
            <w:r/>
            <w:r>
              <w:rPr>
                <w:rFonts w:ascii="Times New Roman" w:hAnsi="Times New Roman" w:cs="Times New Roman" w:eastAsia="Times New Roman"/>
                <w:b w:val="0"/>
                <w:i w:val="0"/>
                <w:color w:val="333333"/>
                <w:sz w:val="20"/>
              </w:rPr>
              <w:t>Büyütmeler altında değişken</w:t>
            </w:r>
          </w:p>
        </w:tc>
      </w:tr>
      <w:tr>
        <w:tc>
          <w:tcPr>
            <w:tcW w:type="dxa" w:w="2041"/>
            <w:shd w:val="clear" w:color="auto" w:fill="F5F0E8"/>
          </w:tcPr>
          <w:p>
            <w:pPr>
              <w:jc w:val="center"/>
            </w:pPr>
            <w:r/>
            <w:r>
              <w:rPr>
                <w:rFonts w:ascii="Times New Roman" w:hAnsi="Times New Roman" w:cs="Times New Roman" w:eastAsia="Times New Roman"/>
                <w:b w:val="0"/>
                <w:i w:val="0"/>
                <w:color w:val="333333"/>
                <w:sz w:val="20"/>
              </w:rPr>
              <w:t>Sroka vd. [27]</w:t>
            </w:r>
          </w:p>
        </w:tc>
        <w:tc>
          <w:tcPr>
            <w:tcW w:type="dxa" w:w="2041"/>
            <w:shd w:val="clear" w:color="auto" w:fill="F5F0E8"/>
          </w:tcPr>
          <w:p>
            <w:pPr>
              <w:jc w:val="center"/>
            </w:pPr>
            <w:r/>
            <w:r>
              <w:rPr>
                <w:rFonts w:ascii="Times New Roman" w:hAnsi="Times New Roman" w:cs="Times New Roman" w:eastAsia="Times New Roman"/>
                <w:b w:val="0"/>
                <w:i w:val="0"/>
                <w:color w:val="333333"/>
                <w:sz w:val="20"/>
              </w:rPr>
              <w:t>Birden çok kamuya açık veri</w:t>
            </w:r>
          </w:p>
        </w:tc>
        <w:tc>
          <w:tcPr>
            <w:tcW w:type="dxa" w:w="2041"/>
            <w:shd w:val="clear" w:color="auto" w:fill="F5F0E8"/>
          </w:tcPr>
          <w:p>
            <w:pPr>
              <w:jc w:val="center"/>
            </w:pPr>
            <w:r/>
            <w:r>
              <w:rPr>
                <w:rFonts w:ascii="Times New Roman" w:hAnsi="Times New Roman" w:cs="Times New Roman" w:eastAsia="Times New Roman"/>
                <w:b w:val="0"/>
                <w:i w:val="0"/>
                <w:color w:val="333333"/>
                <w:sz w:val="20"/>
              </w:rPr>
              <w:t>Çoklu mimari karşılaştırması</w:t>
            </w:r>
          </w:p>
        </w:tc>
        <w:tc>
          <w:tcPr>
            <w:tcW w:type="dxa" w:w="2041"/>
            <w:shd w:val="clear" w:color="auto" w:fill="F5F0E8"/>
          </w:tcPr>
          <w:p>
            <w:pPr>
              <w:jc w:val="center"/>
            </w:pPr>
            <w:r/>
            <w:r>
              <w:rPr>
                <w:rFonts w:ascii="Times New Roman" w:hAnsi="Times New Roman" w:cs="Times New Roman" w:eastAsia="Times New Roman"/>
                <w:b w:val="0"/>
                <w:i w:val="0"/>
                <w:color w:val="333333"/>
                <w:sz w:val="20"/>
              </w:rPr>
              <w:t>AUC, F1</w:t>
            </w:r>
          </w:p>
        </w:tc>
        <w:tc>
          <w:tcPr>
            <w:tcW w:type="dxa" w:w="2041"/>
            <w:shd w:val="clear" w:color="auto" w:fill="F5F0E8"/>
          </w:tcPr>
          <w:p>
            <w:pPr>
              <w:jc w:val="center"/>
            </w:pPr>
            <w:r/>
            <w:r>
              <w:rPr>
                <w:rFonts w:ascii="Times New Roman" w:hAnsi="Times New Roman" w:cs="Times New Roman" w:eastAsia="Times New Roman"/>
                <w:b w:val="0"/>
                <w:i w:val="0"/>
                <w:color w:val="333333"/>
                <w:sz w:val="20"/>
              </w:rPr>
              <w:t>Sağlamlık-doğruluk dengesi</w:t>
            </w:r>
          </w:p>
        </w:tc>
      </w:tr>
      <w:tr>
        <w:tc>
          <w:tcPr>
            <w:tcW w:type="dxa" w:w="2041"/>
            <w:shd w:val="clear" w:color="auto" w:fill="FFFFFF"/>
          </w:tcPr>
          <w:p>
            <w:pPr>
              <w:jc w:val="center"/>
            </w:pPr>
            <w:r/>
            <w:r>
              <w:rPr>
                <w:rFonts w:ascii="Times New Roman" w:hAnsi="Times New Roman" w:cs="Times New Roman" w:eastAsia="Times New Roman"/>
                <w:b w:val="0"/>
                <w:i w:val="0"/>
                <w:color w:val="333333"/>
                <w:sz w:val="20"/>
              </w:rPr>
              <w:t>Pascu vd. [25]</w:t>
            </w:r>
          </w:p>
        </w:tc>
        <w:tc>
          <w:tcPr>
            <w:tcW w:type="dxa" w:w="2041"/>
            <w:shd w:val="clear" w:color="auto" w:fill="FFFFFF"/>
          </w:tcPr>
          <w:p>
            <w:pPr>
              <w:jc w:val="center"/>
            </w:pPr>
            <w:r/>
            <w:r>
              <w:rPr>
                <w:rFonts w:ascii="Times New Roman" w:hAnsi="Times New Roman" w:cs="Times New Roman" w:eastAsia="Times New Roman"/>
                <w:b w:val="0"/>
                <w:i w:val="0"/>
                <w:color w:val="333333"/>
                <w:sz w:val="20"/>
              </w:rPr>
              <w:t>Echoes (3577 parça)</w:t>
            </w:r>
          </w:p>
        </w:tc>
        <w:tc>
          <w:tcPr>
            <w:tcW w:type="dxa" w:w="2041"/>
            <w:shd w:val="clear" w:color="auto" w:fill="FFFFFF"/>
          </w:tcPr>
          <w:p>
            <w:pPr>
              <w:jc w:val="center"/>
            </w:pPr>
            <w:r/>
            <w:r>
              <w:rPr>
                <w:rFonts w:ascii="Times New Roman" w:hAnsi="Times New Roman" w:cs="Times New Roman" w:eastAsia="Times New Roman"/>
                <w:b w:val="0"/>
                <w:i w:val="0"/>
                <w:color w:val="333333"/>
                <w:sz w:val="20"/>
              </w:rPr>
              <w:t>Çoklu üretici sistem dahil eğitim</w:t>
            </w:r>
          </w:p>
        </w:tc>
        <w:tc>
          <w:tcPr>
            <w:tcW w:type="dxa" w:w="2041"/>
            <w:shd w:val="clear" w:color="auto" w:fill="FFFFFF"/>
          </w:tcPr>
          <w:p>
            <w:pPr>
              <w:jc w:val="center"/>
            </w:pPr>
            <w:r/>
            <w:r>
              <w:rPr>
                <w:rFonts w:ascii="Times New Roman" w:hAnsi="Times New Roman" w:cs="Times New Roman" w:eastAsia="Times New Roman"/>
                <w:b w:val="0"/>
                <w:i w:val="0"/>
                <w:color w:val="333333"/>
                <w:sz w:val="20"/>
              </w:rPr>
              <w:t>Doğruluk, AUC</w:t>
            </w:r>
          </w:p>
        </w:tc>
        <w:tc>
          <w:tcPr>
            <w:tcW w:type="dxa" w:w="2041"/>
            <w:shd w:val="clear" w:color="auto" w:fill="FFFFFF"/>
          </w:tcPr>
          <w:p>
            <w:pPr>
              <w:jc w:val="center"/>
            </w:pPr>
            <w:r/>
            <w:r>
              <w:rPr>
                <w:rFonts w:ascii="Times New Roman" w:hAnsi="Times New Roman" w:cs="Times New Roman" w:eastAsia="Times New Roman"/>
                <w:b w:val="0"/>
                <w:i w:val="0"/>
                <w:color w:val="333333"/>
                <w:sz w:val="20"/>
              </w:rPr>
              <w:t>Anlamsal-hizalı kıyaslama</w:t>
            </w:r>
          </w:p>
        </w:tc>
      </w:tr>
      <w:tr>
        <w:tc>
          <w:tcPr>
            <w:tcW w:type="dxa" w:w="2041"/>
            <w:shd w:val="clear" w:color="auto" w:fill="F5F0E8"/>
          </w:tcPr>
          <w:p>
            <w:pPr>
              <w:jc w:val="center"/>
            </w:pPr>
            <w:r/>
            <w:r>
              <w:rPr>
                <w:rFonts w:ascii="Times New Roman" w:hAnsi="Times New Roman" w:cs="Times New Roman" w:eastAsia="Times New Roman"/>
                <w:b w:val="0"/>
                <w:i w:val="0"/>
                <w:color w:val="333333"/>
                <w:sz w:val="20"/>
              </w:rPr>
              <w:t>Bu çalışma (AURIS)</w:t>
            </w:r>
          </w:p>
        </w:tc>
        <w:tc>
          <w:tcPr>
            <w:tcW w:type="dxa" w:w="2041"/>
            <w:shd w:val="clear" w:color="auto" w:fill="F5F0E8"/>
          </w:tcPr>
          <w:p>
            <w:pPr>
              <w:jc w:val="center"/>
            </w:pPr>
            <w:r/>
            <w:r>
              <w:rPr>
                <w:rFonts w:ascii="Times New Roman" w:hAnsi="Times New Roman" w:cs="Times New Roman" w:eastAsia="Times New Roman"/>
                <w:b w:val="0"/>
                <w:i w:val="0"/>
                <w:color w:val="333333"/>
                <w:sz w:val="20"/>
              </w:rPr>
              <w:t>5.195 örnek, 12+ üretici</w:t>
            </w:r>
          </w:p>
        </w:tc>
        <w:tc>
          <w:tcPr>
            <w:tcW w:type="dxa" w:w="2041"/>
            <w:shd w:val="clear" w:color="auto" w:fill="F5F0E8"/>
          </w:tcPr>
          <w:p>
            <w:pPr>
              <w:jc w:val="center"/>
            </w:pPr>
            <w:r/>
            <w:r>
              <w:rPr>
                <w:rFonts w:ascii="Times New Roman" w:hAnsi="Times New Roman" w:cs="Times New Roman" w:eastAsia="Times New Roman"/>
                <w:b w:val="0"/>
                <w:i w:val="0"/>
                <w:color w:val="333333"/>
                <w:sz w:val="20"/>
              </w:rPr>
              <w:t>47 öznitelik + 11 model topluluğu</w:t>
            </w:r>
          </w:p>
        </w:tc>
        <w:tc>
          <w:tcPr>
            <w:tcW w:type="dxa" w:w="2041"/>
            <w:shd w:val="clear" w:color="auto" w:fill="F5F0E8"/>
          </w:tcPr>
          <w:p>
            <w:pPr>
              <w:jc w:val="center"/>
            </w:pPr>
            <w:r/>
            <w:r>
              <w:rPr>
                <w:rFonts w:ascii="Times New Roman" w:hAnsi="Times New Roman" w:cs="Times New Roman" w:eastAsia="Times New Roman"/>
                <w:b w:val="0"/>
                <w:i w:val="0"/>
                <w:color w:val="333333"/>
                <w:sz w:val="20"/>
              </w:rPr>
              <w:t>Doğruluk, AUC, F1, Brier</w:t>
            </w:r>
          </w:p>
        </w:tc>
        <w:tc>
          <w:tcPr>
            <w:tcW w:type="dxa" w:w="2041"/>
            <w:shd w:val="clear" w:color="auto" w:fill="F5F0E8"/>
          </w:tcPr>
          <w:p>
            <w:pPr>
              <w:jc w:val="center"/>
            </w:pPr>
            <w:r/>
            <w:r>
              <w:rPr>
                <w:rFonts w:ascii="Times New Roman" w:hAnsi="Times New Roman" w:cs="Times New Roman" w:eastAsia="Times New Roman"/>
                <w:b w:val="0"/>
                <w:i w:val="0"/>
                <w:color w:val="333333"/>
                <w:sz w:val="20"/>
              </w:rPr>
              <w:t>AUC %95,48 (LightGBM)</w:t>
            </w:r>
          </w:p>
        </w:tc>
      </w:tr>
    </w:tbl>
    <w:p>
      <w:pPr>
        <w:spacing w:after="240"/>
      </w:pPr>
    </w:p>
    <w:p>
      <w:pPr>
        <w:spacing w:before="280" w:after="160" w:line="240" w:lineRule="auto"/>
        <w:jc w:val="left"/>
        <w:keepNext/>
      </w:pPr>
      <w:r>
        <w:rPr>
          <w:rFonts w:ascii="Times New Roman" w:hAnsi="Times New Roman" w:cs="Times New Roman" w:eastAsia="Times New Roman"/>
          <w:b/>
          <w:i w:val="0"/>
          <w:color w:val="333333"/>
          <w:sz w:val="24"/>
        </w:rPr>
        <w:t>2. MATERYAL VE YÖNTEM (MATERIAL AND METHOD)</w:t>
      </w:r>
    </w:p>
    <w:p>
      <w:pPr>
        <w:spacing w:line="240" w:lineRule="auto" w:before="160" w:after="240"/>
        <w:jc w:val="both"/>
      </w:pPr>
      <w:r>
        <w:rPr>
          <w:rFonts w:ascii="Times New Roman" w:hAnsi="Times New Roman" w:cs="Times New Roman" w:eastAsia="Times New Roman"/>
          <w:b w:val="0"/>
          <w:i w:val="0"/>
          <w:color w:val="333333"/>
          <w:sz w:val="22"/>
        </w:rPr>
        <w:t>Bu bölümde önerilen sistemin geliştirilmesinde kullanılan materyal ve yöntemler özetlenmiştir. Alt bölümlerde sırasıyla (i) veri kümesi, (ii) öznitelik çıkarma boru hattı, (iii) sınıflandırma modelleri, (iv) eğitim protokolü ve eşik optimizasyonu açıklanmaktadır. Şekil 1, sistemin uçtan-uca işleyişini göstermektedir.</w:t>
      </w:r>
    </w:p>
    <w:p>
      <w:pPr>
        <w:spacing w:before="200" w:after="40"/>
        <w:jc w:val="center"/>
        <w:keepNext/>
      </w:pPr>
      <w:r>
        <w:drawing>
          <wp:inline xmlns:a="http://schemas.openxmlformats.org/drawingml/2006/main" xmlns:pic="http://schemas.openxmlformats.org/drawingml/2006/picture">
            <wp:extent cx="3060000" cy="987681"/>
            <wp:docPr id="1" name="Picture 1"/>
            <wp:cNvGraphicFramePr>
              <a:graphicFrameLocks noChangeAspect="1"/>
            </wp:cNvGraphicFramePr>
            <a:graphic>
              <a:graphicData uri="http://schemas.openxmlformats.org/drawingml/2006/picture">
                <pic:pic>
                  <pic:nvPicPr>
                    <pic:cNvPr id="0" name="paper_pipeline_diagram.png"/>
                    <pic:cNvPicPr/>
                  </pic:nvPicPr>
                  <pic:blipFill>
                    <a:blip r:embed="rId9"/>
                    <a:stretch>
                      <a:fillRect/>
                    </a:stretch>
                  </pic:blipFill>
                  <pic:spPr>
                    <a:xfrm>
                      <a:off x="0" y="0"/>
                      <a:ext cx="3060000" cy="987681"/>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 AURIS uçtan-uca işleyiş şeması: ses girişi, 47 boyutlu öznitelik çıkarma, standartlaştırma, 11 modelli topluluk, olasılık füzyonu ve karar eşiği.</w:t>
      </w:r>
    </w:p>
    <w:p>
      <w:pPr>
        <w:spacing w:before="0" w:after="240"/>
        <w:jc w:val="center"/>
      </w:pPr>
      <w:r>
        <w:rPr>
          <w:rFonts w:ascii="Times New Roman" w:hAnsi="Times New Roman" w:cs="Times New Roman" w:eastAsia="Times New Roman"/>
          <w:b w:val="0"/>
          <w:i/>
          <w:color w:val="666666"/>
          <w:sz w:val="22"/>
        </w:rPr>
        <w:t>(End-to-end AURIS pipeline: audio input, 47-dimensional feature extraction, standardisation, 11-model ensemble, probability fusion and decision threshold.)</w:t>
      </w:r>
    </w:p>
    <w:p>
      <w:pPr>
        <w:spacing w:before="200" w:after="120" w:line="240" w:lineRule="auto"/>
        <w:jc w:val="left"/>
        <w:keepNext/>
      </w:pPr>
      <w:r>
        <w:rPr>
          <w:rFonts w:ascii="Times New Roman" w:hAnsi="Times New Roman" w:cs="Times New Roman" w:eastAsia="Times New Roman"/>
          <w:b/>
          <w:i/>
          <w:color w:val="333333"/>
          <w:sz w:val="22"/>
        </w:rPr>
        <w:t>2.1. Veri Kümesi (Dataset)</w:t>
      </w:r>
    </w:p>
    <w:p>
      <w:pPr>
        <w:spacing w:line="240" w:lineRule="auto" w:before="160" w:after="240"/>
        <w:jc w:val="both"/>
      </w:pPr>
      <w:r>
        <w:rPr>
          <w:rFonts w:ascii="Times New Roman" w:hAnsi="Times New Roman" w:cs="Times New Roman" w:eastAsia="Times New Roman"/>
          <w:b w:val="0"/>
          <w:i w:val="0"/>
          <w:color w:val="333333"/>
          <w:sz w:val="22"/>
        </w:rPr>
        <w:t>Çalışmada toplam 5.195 ses örneği kullanılmıştır. Bu örneklerin 3.113 tanesi insan tarafından bestelenmiş ve seslendirilmiş kayıtları (sınıf 0), 2.082 tanesi ise yapay zekâ tarafından üretilmiş örnekleri (sınıf 1) temsil etmektedir. İnsan kaynakları üç ayrı havuzdan oluşmaktadır: GTZAN (899 örnek; on tür, 30 saniyelik klipler), FMA Small (1.000 örnek; sekiz tür) ve özel bir kapak performansı veri seti olan SleepyJesse (854 örnek). Yapay zekâ kaynakları daha çeşitlidir; Suno (500 örnek, sürüm 3-5), Udio, MusicGen [1], AudioLDM2 [2], Stable Audio, Riffusion, Mustango, JEN-1 ve dahili olarak adlandırılan 'Echoes' ve 'AImE' alt kümelerini içermektedir. Veri kümesi kompozisyonu Tablo 2'de özetlenmiştir.</w:t>
      </w:r>
    </w:p>
    <w:p>
      <w:pPr>
        <w:spacing w:before="200" w:after="40"/>
        <w:jc w:val="center"/>
        <w:keepNext/>
      </w:pPr>
      <w:r>
        <w:rPr>
          <w:rFonts w:ascii="Times New Roman" w:hAnsi="Times New Roman" w:cs="Times New Roman" w:eastAsia="Times New Roman"/>
          <w:b w:val="0"/>
          <w:i/>
          <w:color w:val="333333"/>
          <w:sz w:val="22"/>
        </w:rPr>
        <w:t>Tablo 2. Veri kümesi kompozisyonu ve sınıf dağılımı</w:t>
      </w:r>
    </w:p>
    <w:p>
      <w:pPr>
        <w:spacing w:before="0" w:after="80"/>
        <w:jc w:val="center"/>
        <w:keepNext/>
      </w:pPr>
      <w:r>
        <w:rPr>
          <w:rFonts w:ascii="Times New Roman" w:hAnsi="Times New Roman" w:cs="Times New Roman" w:eastAsia="Times New Roman"/>
          <w:b w:val="0"/>
          <w:i/>
          <w:color w:val="666666"/>
          <w:sz w:val="22"/>
        </w:rPr>
        <w:t>(Dataset composition and class distribution)</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C99347"/>
          </w:tcPr>
          <w:p>
            <w:pPr>
              <w:jc w:val="center"/>
            </w:pPr>
            <w:r/>
            <w:r>
              <w:rPr>
                <w:rFonts w:ascii="Times New Roman" w:hAnsi="Times New Roman" w:cs="Times New Roman" w:eastAsia="Times New Roman"/>
                <w:b/>
                <w:i w:val="0"/>
                <w:color w:val="FFFFFF"/>
                <w:sz w:val="20"/>
              </w:rPr>
              <w:t>Kaynak</w:t>
            </w:r>
          </w:p>
        </w:tc>
        <w:tc>
          <w:tcPr>
            <w:tcW w:type="dxa" w:w="2551"/>
            <w:shd w:val="clear" w:color="auto" w:fill="C99347"/>
          </w:tcPr>
          <w:p>
            <w:pPr>
              <w:jc w:val="center"/>
            </w:pPr>
            <w:r/>
            <w:r>
              <w:rPr>
                <w:rFonts w:ascii="Times New Roman" w:hAnsi="Times New Roman" w:cs="Times New Roman" w:eastAsia="Times New Roman"/>
                <w:b/>
                <w:i w:val="0"/>
                <w:color w:val="FFFFFF"/>
                <w:sz w:val="20"/>
              </w:rPr>
              <w:t>Tür</w:t>
            </w:r>
          </w:p>
        </w:tc>
        <w:tc>
          <w:tcPr>
            <w:tcW w:type="dxa" w:w="2551"/>
            <w:shd w:val="clear" w:color="auto" w:fill="C99347"/>
          </w:tcPr>
          <w:p>
            <w:pPr>
              <w:jc w:val="center"/>
            </w:pPr>
            <w:r/>
            <w:r>
              <w:rPr>
                <w:rFonts w:ascii="Times New Roman" w:hAnsi="Times New Roman" w:cs="Times New Roman" w:eastAsia="Times New Roman"/>
                <w:b/>
                <w:i w:val="0"/>
                <w:color w:val="FFFFFF"/>
                <w:sz w:val="20"/>
              </w:rPr>
              <w:t>Örnek Sayısı</w:t>
            </w:r>
          </w:p>
        </w:tc>
        <w:tc>
          <w:tcPr>
            <w:tcW w:type="dxa" w:w="2551"/>
            <w:shd w:val="clear" w:color="auto" w:fill="C99347"/>
          </w:tcPr>
          <w:p>
            <w:pPr>
              <w:jc w:val="center"/>
            </w:pPr>
            <w:r/>
            <w:r>
              <w:rPr>
                <w:rFonts w:ascii="Times New Roman" w:hAnsi="Times New Roman" w:cs="Times New Roman" w:eastAsia="Times New Roman"/>
                <w:b/>
                <w:i w:val="0"/>
                <w:color w:val="FFFFFF"/>
                <w:sz w:val="20"/>
              </w:rPr>
              <w:t>Etiket</w:t>
            </w:r>
          </w:p>
        </w:tc>
      </w:tr>
      <w:tr>
        <w:tc>
          <w:tcPr>
            <w:tcW w:type="dxa" w:w="2551"/>
            <w:shd w:val="clear" w:color="auto" w:fill="FFFFFF"/>
          </w:tcPr>
          <w:p>
            <w:pPr>
              <w:jc w:val="center"/>
            </w:pPr>
            <w:r/>
            <w:r>
              <w:rPr>
                <w:rFonts w:ascii="Times New Roman" w:hAnsi="Times New Roman" w:cs="Times New Roman" w:eastAsia="Times New Roman"/>
                <w:b w:val="0"/>
                <w:i w:val="0"/>
                <w:color w:val="333333"/>
                <w:sz w:val="20"/>
              </w:rPr>
              <w:t>GTZAN</w:t>
            </w:r>
          </w:p>
        </w:tc>
        <w:tc>
          <w:tcPr>
            <w:tcW w:type="dxa" w:w="2551"/>
            <w:shd w:val="clear" w:color="auto" w:fill="FFFFFF"/>
          </w:tcPr>
          <w:p>
            <w:pPr>
              <w:jc w:val="center"/>
            </w:pPr>
            <w:r/>
            <w:r>
              <w:rPr>
                <w:rFonts w:ascii="Times New Roman" w:hAnsi="Times New Roman" w:cs="Times New Roman" w:eastAsia="Times New Roman"/>
                <w:b w:val="0"/>
                <w:i w:val="0"/>
                <w:color w:val="333333"/>
                <w:sz w:val="20"/>
              </w:rPr>
              <w:t>İnsan (on tür)</w:t>
            </w:r>
          </w:p>
        </w:tc>
        <w:tc>
          <w:tcPr>
            <w:tcW w:type="dxa" w:w="2551"/>
            <w:shd w:val="clear" w:color="auto" w:fill="FFFFFF"/>
          </w:tcPr>
          <w:p>
            <w:pPr>
              <w:jc w:val="center"/>
            </w:pPr>
            <w:r/>
            <w:r>
              <w:rPr>
                <w:rFonts w:ascii="Times New Roman" w:hAnsi="Times New Roman" w:cs="Times New Roman" w:eastAsia="Times New Roman"/>
                <w:b w:val="0"/>
                <w:i w:val="0"/>
                <w:color w:val="333333"/>
                <w:sz w:val="20"/>
              </w:rPr>
              <w:t>899</w:t>
            </w:r>
          </w:p>
        </w:tc>
        <w:tc>
          <w:tcPr>
            <w:tcW w:type="dxa" w:w="2551"/>
            <w:shd w:val="clear" w:color="auto" w:fill="FFFFFF"/>
          </w:tcPr>
          <w:p>
            <w:pPr>
              <w:jc w:val="center"/>
            </w:pPr>
            <w:r/>
            <w:r>
              <w:rPr>
                <w:rFonts w:ascii="Times New Roman" w:hAnsi="Times New Roman" w:cs="Times New Roman" w:eastAsia="Times New Roman"/>
                <w:b w:val="0"/>
                <w:i w:val="0"/>
                <w:color w:val="333333"/>
                <w:sz w:val="20"/>
              </w:rPr>
              <w:t>0</w:t>
            </w:r>
          </w:p>
        </w:tc>
      </w:tr>
      <w:tr>
        <w:tc>
          <w:tcPr>
            <w:tcW w:type="dxa" w:w="2551"/>
            <w:shd w:val="clear" w:color="auto" w:fill="F5F0E8"/>
          </w:tcPr>
          <w:p>
            <w:pPr>
              <w:jc w:val="center"/>
            </w:pPr>
            <w:r/>
            <w:r>
              <w:rPr>
                <w:rFonts w:ascii="Times New Roman" w:hAnsi="Times New Roman" w:cs="Times New Roman" w:eastAsia="Times New Roman"/>
                <w:b w:val="0"/>
                <w:i w:val="0"/>
                <w:color w:val="333333"/>
                <w:sz w:val="20"/>
              </w:rPr>
              <w:t>FMA Small</w:t>
            </w:r>
          </w:p>
        </w:tc>
        <w:tc>
          <w:tcPr>
            <w:tcW w:type="dxa" w:w="2551"/>
            <w:shd w:val="clear" w:color="auto" w:fill="F5F0E8"/>
          </w:tcPr>
          <w:p>
            <w:pPr>
              <w:jc w:val="center"/>
            </w:pPr>
            <w:r/>
            <w:r>
              <w:rPr>
                <w:rFonts w:ascii="Times New Roman" w:hAnsi="Times New Roman" w:cs="Times New Roman" w:eastAsia="Times New Roman"/>
                <w:b w:val="0"/>
                <w:i w:val="0"/>
                <w:color w:val="333333"/>
                <w:sz w:val="20"/>
              </w:rPr>
              <w:t>İnsan (sekiz tür)</w:t>
            </w:r>
          </w:p>
        </w:tc>
        <w:tc>
          <w:tcPr>
            <w:tcW w:type="dxa" w:w="2551"/>
            <w:shd w:val="clear" w:color="auto" w:fill="F5F0E8"/>
          </w:tcPr>
          <w:p>
            <w:pPr>
              <w:jc w:val="center"/>
            </w:pPr>
            <w:r/>
            <w:r>
              <w:rPr>
                <w:rFonts w:ascii="Times New Roman" w:hAnsi="Times New Roman" w:cs="Times New Roman" w:eastAsia="Times New Roman"/>
                <w:b w:val="0"/>
                <w:i w:val="0"/>
                <w:color w:val="333333"/>
                <w:sz w:val="20"/>
              </w:rPr>
              <w:t>1.000</w:t>
            </w:r>
          </w:p>
        </w:tc>
        <w:tc>
          <w:tcPr>
            <w:tcW w:type="dxa" w:w="2551"/>
            <w:shd w:val="clear" w:color="auto" w:fill="F5F0E8"/>
          </w:tcPr>
          <w:p>
            <w:pPr>
              <w:jc w:val="center"/>
            </w:pPr>
            <w:r/>
            <w:r>
              <w:rPr>
                <w:rFonts w:ascii="Times New Roman" w:hAnsi="Times New Roman" w:cs="Times New Roman" w:eastAsia="Times New Roman"/>
                <w:b w:val="0"/>
                <w:i w:val="0"/>
                <w:color w:val="333333"/>
                <w:sz w:val="20"/>
              </w:rPr>
              <w:t>0</w:t>
            </w:r>
          </w:p>
        </w:tc>
      </w:tr>
      <w:tr>
        <w:tc>
          <w:tcPr>
            <w:tcW w:type="dxa" w:w="2551"/>
            <w:shd w:val="clear" w:color="auto" w:fill="FFFFFF"/>
          </w:tcPr>
          <w:p>
            <w:pPr>
              <w:jc w:val="center"/>
            </w:pPr>
            <w:r/>
            <w:r>
              <w:rPr>
                <w:rFonts w:ascii="Times New Roman" w:hAnsi="Times New Roman" w:cs="Times New Roman" w:eastAsia="Times New Roman"/>
                <w:b w:val="0"/>
                <w:i w:val="0"/>
                <w:color w:val="333333"/>
                <w:sz w:val="20"/>
              </w:rPr>
              <w:t>SleepyJesse</w:t>
            </w:r>
          </w:p>
        </w:tc>
        <w:tc>
          <w:tcPr>
            <w:tcW w:type="dxa" w:w="2551"/>
            <w:shd w:val="clear" w:color="auto" w:fill="FFFFFF"/>
          </w:tcPr>
          <w:p>
            <w:pPr>
              <w:jc w:val="center"/>
            </w:pPr>
            <w:r/>
            <w:r>
              <w:rPr>
                <w:rFonts w:ascii="Times New Roman" w:hAnsi="Times New Roman" w:cs="Times New Roman" w:eastAsia="Times New Roman"/>
                <w:b w:val="0"/>
                <w:i w:val="0"/>
                <w:color w:val="333333"/>
                <w:sz w:val="20"/>
              </w:rPr>
              <w:t>İnsan (kapak performansları)</w:t>
            </w:r>
          </w:p>
        </w:tc>
        <w:tc>
          <w:tcPr>
            <w:tcW w:type="dxa" w:w="2551"/>
            <w:shd w:val="clear" w:color="auto" w:fill="FFFFFF"/>
          </w:tcPr>
          <w:p>
            <w:pPr>
              <w:jc w:val="center"/>
            </w:pPr>
            <w:r/>
            <w:r>
              <w:rPr>
                <w:rFonts w:ascii="Times New Roman" w:hAnsi="Times New Roman" w:cs="Times New Roman" w:eastAsia="Times New Roman"/>
                <w:b w:val="0"/>
                <w:i w:val="0"/>
                <w:color w:val="333333"/>
                <w:sz w:val="20"/>
              </w:rPr>
              <w:t>854</w:t>
            </w:r>
          </w:p>
        </w:tc>
        <w:tc>
          <w:tcPr>
            <w:tcW w:type="dxa" w:w="2551"/>
            <w:shd w:val="clear" w:color="auto" w:fill="FFFFFF"/>
          </w:tcPr>
          <w:p>
            <w:pPr>
              <w:jc w:val="center"/>
            </w:pPr>
            <w:r/>
            <w:r>
              <w:rPr>
                <w:rFonts w:ascii="Times New Roman" w:hAnsi="Times New Roman" w:cs="Times New Roman" w:eastAsia="Times New Roman"/>
                <w:b w:val="0"/>
                <w:i w:val="0"/>
                <w:color w:val="333333"/>
                <w:sz w:val="20"/>
              </w:rPr>
              <w:t>0</w:t>
            </w:r>
          </w:p>
        </w:tc>
      </w:tr>
      <w:tr>
        <w:tc>
          <w:tcPr>
            <w:tcW w:type="dxa" w:w="2551"/>
            <w:shd w:val="clear" w:color="auto" w:fill="F5F0E8"/>
          </w:tcPr>
          <w:p>
            <w:pPr>
              <w:jc w:val="center"/>
            </w:pPr>
            <w:r/>
            <w:r>
              <w:rPr>
                <w:rFonts w:ascii="Times New Roman" w:hAnsi="Times New Roman" w:cs="Times New Roman" w:eastAsia="Times New Roman"/>
                <w:b w:val="0"/>
                <w:i w:val="0"/>
                <w:color w:val="333333"/>
                <w:sz w:val="20"/>
              </w:rPr>
              <w:t>Diğer insan kaynakları</w:t>
            </w:r>
          </w:p>
        </w:tc>
        <w:tc>
          <w:tcPr>
            <w:tcW w:type="dxa" w:w="2551"/>
            <w:shd w:val="clear" w:color="auto" w:fill="F5F0E8"/>
          </w:tcPr>
          <w:p>
            <w:pPr>
              <w:jc w:val="center"/>
            </w:pPr>
            <w:r/>
            <w:r>
              <w:rPr>
                <w:rFonts w:ascii="Times New Roman" w:hAnsi="Times New Roman" w:cs="Times New Roman" w:eastAsia="Times New Roman"/>
                <w:b w:val="0"/>
                <w:i w:val="0"/>
                <w:color w:val="333333"/>
                <w:sz w:val="20"/>
              </w:rPr>
              <w:t>İnsan (çeşitli)</w:t>
            </w:r>
          </w:p>
        </w:tc>
        <w:tc>
          <w:tcPr>
            <w:tcW w:type="dxa" w:w="2551"/>
            <w:shd w:val="clear" w:color="auto" w:fill="F5F0E8"/>
          </w:tcPr>
          <w:p>
            <w:pPr>
              <w:jc w:val="center"/>
            </w:pPr>
            <w:r/>
            <w:r>
              <w:rPr>
                <w:rFonts w:ascii="Times New Roman" w:hAnsi="Times New Roman" w:cs="Times New Roman" w:eastAsia="Times New Roman"/>
                <w:b w:val="0"/>
                <w:i w:val="0"/>
                <w:color w:val="333333"/>
                <w:sz w:val="20"/>
              </w:rPr>
              <w:t>360</w:t>
            </w:r>
          </w:p>
        </w:tc>
        <w:tc>
          <w:tcPr>
            <w:tcW w:type="dxa" w:w="2551"/>
            <w:shd w:val="clear" w:color="auto" w:fill="F5F0E8"/>
          </w:tcPr>
          <w:p>
            <w:pPr>
              <w:jc w:val="center"/>
            </w:pPr>
            <w:r/>
            <w:r>
              <w:rPr>
                <w:rFonts w:ascii="Times New Roman" w:hAnsi="Times New Roman" w:cs="Times New Roman" w:eastAsia="Times New Roman"/>
                <w:b w:val="0"/>
                <w:i w:val="0"/>
                <w:color w:val="333333"/>
                <w:sz w:val="20"/>
              </w:rPr>
              <w:t>0</w:t>
            </w:r>
          </w:p>
        </w:tc>
      </w:tr>
      <w:tr>
        <w:tc>
          <w:tcPr>
            <w:tcW w:type="dxa" w:w="2551"/>
            <w:shd w:val="clear" w:color="auto" w:fill="FFFFFF"/>
          </w:tcPr>
          <w:p>
            <w:pPr>
              <w:jc w:val="center"/>
            </w:pPr>
            <w:r/>
            <w:r>
              <w:rPr>
                <w:rFonts w:ascii="Times New Roman" w:hAnsi="Times New Roman" w:cs="Times New Roman" w:eastAsia="Times New Roman"/>
                <w:b w:val="0"/>
                <w:i w:val="0"/>
                <w:color w:val="333333"/>
                <w:sz w:val="20"/>
              </w:rPr>
              <w:t>Echoes</w:t>
            </w:r>
          </w:p>
        </w:tc>
        <w:tc>
          <w:tcPr>
            <w:tcW w:type="dxa" w:w="2551"/>
            <w:shd w:val="clear" w:color="auto" w:fill="FFFFFF"/>
          </w:tcPr>
          <w:p>
            <w:pPr>
              <w:jc w:val="center"/>
            </w:pPr>
            <w:r/>
            <w:r>
              <w:rPr>
                <w:rFonts w:ascii="Times New Roman" w:hAnsi="Times New Roman" w:cs="Times New Roman" w:eastAsia="Times New Roman"/>
                <w:b w:val="0"/>
                <w:i w:val="0"/>
                <w:color w:val="333333"/>
                <w:sz w:val="20"/>
              </w:rPr>
              <w:t>Yapay zekâ (Suno türevi)</w:t>
            </w:r>
          </w:p>
        </w:tc>
        <w:tc>
          <w:tcPr>
            <w:tcW w:type="dxa" w:w="2551"/>
            <w:shd w:val="clear" w:color="auto" w:fill="FFFFFF"/>
          </w:tcPr>
          <w:p>
            <w:pPr>
              <w:jc w:val="center"/>
            </w:pPr>
            <w:r/>
            <w:r>
              <w:rPr>
                <w:rFonts w:ascii="Times New Roman" w:hAnsi="Times New Roman" w:cs="Times New Roman" w:eastAsia="Times New Roman"/>
                <w:b w:val="0"/>
                <w:i w:val="0"/>
                <w:color w:val="333333"/>
                <w:sz w:val="20"/>
              </w:rPr>
              <w:t>1.128</w:t>
            </w:r>
          </w:p>
        </w:tc>
        <w:tc>
          <w:tcPr>
            <w:tcW w:type="dxa" w:w="2551"/>
            <w:shd w:val="clear" w:color="auto" w:fill="FFFFFF"/>
          </w:tcPr>
          <w:p>
            <w:pPr>
              <w:jc w:val="center"/>
            </w:pPr>
            <w:r/>
            <w:r>
              <w:rPr>
                <w:rFonts w:ascii="Times New Roman" w:hAnsi="Times New Roman" w:cs="Times New Roman" w:eastAsia="Times New Roman"/>
                <w:b w:val="0"/>
                <w:i w:val="0"/>
                <w:color w:val="333333"/>
                <w:sz w:val="20"/>
              </w:rPr>
              <w:t>1</w:t>
            </w:r>
          </w:p>
        </w:tc>
      </w:tr>
      <w:tr>
        <w:tc>
          <w:tcPr>
            <w:tcW w:type="dxa" w:w="2551"/>
            <w:shd w:val="clear" w:color="auto" w:fill="F5F0E8"/>
          </w:tcPr>
          <w:p>
            <w:pPr>
              <w:jc w:val="center"/>
            </w:pPr>
            <w:r/>
            <w:r>
              <w:rPr>
                <w:rFonts w:ascii="Times New Roman" w:hAnsi="Times New Roman" w:cs="Times New Roman" w:eastAsia="Times New Roman"/>
                <w:b w:val="0"/>
                <w:i w:val="0"/>
                <w:color w:val="333333"/>
                <w:sz w:val="20"/>
              </w:rPr>
              <w:t>Suno (v3-v5)</w:t>
            </w:r>
          </w:p>
        </w:tc>
        <w:tc>
          <w:tcPr>
            <w:tcW w:type="dxa" w:w="2551"/>
            <w:shd w:val="clear" w:color="auto" w:fill="F5F0E8"/>
          </w:tcPr>
          <w:p>
            <w:pPr>
              <w:jc w:val="center"/>
            </w:pPr>
            <w:r/>
            <w:r>
              <w:rPr>
                <w:rFonts w:ascii="Times New Roman" w:hAnsi="Times New Roman" w:cs="Times New Roman" w:eastAsia="Times New Roman"/>
                <w:b w:val="0"/>
                <w:i w:val="0"/>
                <w:color w:val="333333"/>
                <w:sz w:val="20"/>
              </w:rPr>
              <w:t>Yapay zekâ (ticari)</w:t>
            </w:r>
          </w:p>
        </w:tc>
        <w:tc>
          <w:tcPr>
            <w:tcW w:type="dxa" w:w="2551"/>
            <w:shd w:val="clear" w:color="auto" w:fill="F5F0E8"/>
          </w:tcPr>
          <w:p>
            <w:pPr>
              <w:jc w:val="center"/>
            </w:pPr>
            <w:r/>
            <w:r>
              <w:rPr>
                <w:rFonts w:ascii="Times New Roman" w:hAnsi="Times New Roman" w:cs="Times New Roman" w:eastAsia="Times New Roman"/>
                <w:b w:val="0"/>
                <w:i w:val="0"/>
                <w:color w:val="333333"/>
                <w:sz w:val="20"/>
              </w:rPr>
              <w:t>500</w:t>
            </w:r>
          </w:p>
        </w:tc>
        <w:tc>
          <w:tcPr>
            <w:tcW w:type="dxa" w:w="2551"/>
            <w:shd w:val="clear" w:color="auto" w:fill="F5F0E8"/>
          </w:tcPr>
          <w:p>
            <w:pPr>
              <w:jc w:val="center"/>
            </w:pPr>
            <w:r/>
            <w:r>
              <w:rPr>
                <w:rFonts w:ascii="Times New Roman" w:hAnsi="Times New Roman" w:cs="Times New Roman" w:eastAsia="Times New Roman"/>
                <w:b w:val="0"/>
                <w:i w:val="0"/>
                <w:color w:val="333333"/>
                <w:sz w:val="20"/>
              </w:rPr>
              <w:t>1</w:t>
            </w:r>
          </w:p>
        </w:tc>
      </w:tr>
      <w:tr>
        <w:tc>
          <w:tcPr>
            <w:tcW w:type="dxa" w:w="2551"/>
            <w:shd w:val="clear" w:color="auto" w:fill="FFFFFF"/>
          </w:tcPr>
          <w:p>
            <w:pPr>
              <w:jc w:val="center"/>
            </w:pPr>
            <w:r/>
            <w:r>
              <w:rPr>
                <w:rFonts w:ascii="Times New Roman" w:hAnsi="Times New Roman" w:cs="Times New Roman" w:eastAsia="Times New Roman"/>
                <w:b w:val="0"/>
                <w:i w:val="0"/>
                <w:color w:val="333333"/>
                <w:sz w:val="20"/>
              </w:rPr>
              <w:t>Deepfake seti</w:t>
            </w:r>
          </w:p>
        </w:tc>
        <w:tc>
          <w:tcPr>
            <w:tcW w:type="dxa" w:w="2551"/>
            <w:shd w:val="clear" w:color="auto" w:fill="FFFFFF"/>
          </w:tcPr>
          <w:p>
            <w:pPr>
              <w:jc w:val="center"/>
            </w:pPr>
            <w:r/>
            <w:r>
              <w:rPr>
                <w:rFonts w:ascii="Times New Roman" w:hAnsi="Times New Roman" w:cs="Times New Roman" w:eastAsia="Times New Roman"/>
                <w:b w:val="0"/>
                <w:i w:val="0"/>
                <w:color w:val="333333"/>
                <w:sz w:val="20"/>
              </w:rPr>
              <w:t>Yapay zekâ (karışık)</w:t>
            </w:r>
          </w:p>
        </w:tc>
        <w:tc>
          <w:tcPr>
            <w:tcW w:type="dxa" w:w="2551"/>
            <w:shd w:val="clear" w:color="auto" w:fill="FFFFFF"/>
          </w:tcPr>
          <w:p>
            <w:pPr>
              <w:jc w:val="center"/>
            </w:pPr>
            <w:r/>
            <w:r>
              <w:rPr>
                <w:rFonts w:ascii="Times New Roman" w:hAnsi="Times New Roman" w:cs="Times New Roman" w:eastAsia="Times New Roman"/>
                <w:b w:val="0"/>
                <w:i w:val="0"/>
                <w:color w:val="333333"/>
                <w:sz w:val="20"/>
              </w:rPr>
              <w:t>492</w:t>
            </w:r>
          </w:p>
        </w:tc>
        <w:tc>
          <w:tcPr>
            <w:tcW w:type="dxa" w:w="2551"/>
            <w:shd w:val="clear" w:color="auto" w:fill="FFFFFF"/>
          </w:tcPr>
          <w:p>
            <w:pPr>
              <w:jc w:val="center"/>
            </w:pPr>
            <w:r/>
            <w:r>
              <w:rPr>
                <w:rFonts w:ascii="Times New Roman" w:hAnsi="Times New Roman" w:cs="Times New Roman" w:eastAsia="Times New Roman"/>
                <w:b w:val="0"/>
                <w:i w:val="0"/>
                <w:color w:val="333333"/>
                <w:sz w:val="20"/>
              </w:rPr>
              <w:t>1</w:t>
            </w:r>
          </w:p>
        </w:tc>
      </w:tr>
      <w:tr>
        <w:tc>
          <w:tcPr>
            <w:tcW w:type="dxa" w:w="2551"/>
            <w:shd w:val="clear" w:color="auto" w:fill="F5F0E8"/>
          </w:tcPr>
          <w:p>
            <w:pPr>
              <w:jc w:val="center"/>
            </w:pPr>
            <w:r/>
            <w:r>
              <w:rPr>
                <w:rFonts w:ascii="Times New Roman" w:hAnsi="Times New Roman" w:cs="Times New Roman" w:eastAsia="Times New Roman"/>
                <w:b w:val="0"/>
                <w:i w:val="0"/>
                <w:color w:val="333333"/>
                <w:sz w:val="20"/>
              </w:rPr>
              <w:t>AImE / Mustango / JEN-1</w:t>
            </w:r>
          </w:p>
        </w:tc>
        <w:tc>
          <w:tcPr>
            <w:tcW w:type="dxa" w:w="2551"/>
            <w:shd w:val="clear" w:color="auto" w:fill="F5F0E8"/>
          </w:tcPr>
          <w:p>
            <w:pPr>
              <w:jc w:val="center"/>
            </w:pPr>
            <w:r/>
            <w:r>
              <w:rPr>
                <w:rFonts w:ascii="Times New Roman" w:hAnsi="Times New Roman" w:cs="Times New Roman" w:eastAsia="Times New Roman"/>
                <w:b w:val="0"/>
                <w:i w:val="0"/>
                <w:color w:val="333333"/>
                <w:sz w:val="20"/>
              </w:rPr>
              <w:t>Yapay zekâ (akademik)</w:t>
            </w:r>
          </w:p>
        </w:tc>
        <w:tc>
          <w:tcPr>
            <w:tcW w:type="dxa" w:w="2551"/>
            <w:shd w:val="clear" w:color="auto" w:fill="F5F0E8"/>
          </w:tcPr>
          <w:p>
            <w:pPr>
              <w:jc w:val="center"/>
            </w:pPr>
            <w:r/>
            <w:r>
              <w:rPr>
                <w:rFonts w:ascii="Times New Roman" w:hAnsi="Times New Roman" w:cs="Times New Roman" w:eastAsia="Times New Roman"/>
                <w:b w:val="0"/>
                <w:i w:val="0"/>
                <w:color w:val="333333"/>
                <w:sz w:val="20"/>
              </w:rPr>
              <w:t>204</w:t>
            </w:r>
          </w:p>
        </w:tc>
        <w:tc>
          <w:tcPr>
            <w:tcW w:type="dxa" w:w="2551"/>
            <w:shd w:val="clear" w:color="auto" w:fill="F5F0E8"/>
          </w:tcPr>
          <w:p>
            <w:pPr>
              <w:jc w:val="center"/>
            </w:pPr>
            <w:r/>
            <w:r>
              <w:rPr>
                <w:rFonts w:ascii="Times New Roman" w:hAnsi="Times New Roman" w:cs="Times New Roman" w:eastAsia="Times New Roman"/>
                <w:b w:val="0"/>
                <w:i w:val="0"/>
                <w:color w:val="333333"/>
                <w:sz w:val="20"/>
              </w:rPr>
              <w:t>1</w:t>
            </w:r>
          </w:p>
        </w:tc>
      </w:tr>
      <w:tr>
        <w:tc>
          <w:tcPr>
            <w:tcW w:type="dxa" w:w="2551"/>
            <w:shd w:val="clear" w:color="auto" w:fill="FFFFFF"/>
          </w:tcPr>
          <w:p>
            <w:pPr>
              <w:jc w:val="center"/>
            </w:pPr>
            <w:r/>
            <w:r>
              <w:rPr>
                <w:rFonts w:ascii="Times New Roman" w:hAnsi="Times New Roman" w:cs="Times New Roman" w:eastAsia="Times New Roman"/>
                <w:b w:val="0"/>
                <w:i w:val="0"/>
                <w:color w:val="333333"/>
                <w:sz w:val="20"/>
              </w:rPr>
              <w:t>Toplam</w:t>
            </w:r>
          </w:p>
        </w:tc>
        <w:tc>
          <w:tcPr>
            <w:tcW w:type="dxa" w:w="2551"/>
            <w:shd w:val="clear" w:color="auto" w:fill="FFFFFF"/>
          </w:tcPr>
          <w:p>
            <w:pPr>
              <w:jc w:val="center"/>
            </w:pPr>
            <w:r/>
            <w:r>
              <w:rPr>
                <w:rFonts w:ascii="Times New Roman" w:hAnsi="Times New Roman" w:cs="Times New Roman" w:eastAsia="Times New Roman"/>
                <w:b w:val="0"/>
                <w:i w:val="0"/>
                <w:color w:val="333333"/>
                <w:sz w:val="20"/>
              </w:rPr>
            </w:r>
          </w:p>
        </w:tc>
        <w:tc>
          <w:tcPr>
            <w:tcW w:type="dxa" w:w="2551"/>
            <w:shd w:val="clear" w:color="auto" w:fill="FFFFFF"/>
          </w:tcPr>
          <w:p>
            <w:pPr>
              <w:jc w:val="center"/>
            </w:pPr>
            <w:r/>
            <w:r>
              <w:rPr>
                <w:rFonts w:ascii="Times New Roman" w:hAnsi="Times New Roman" w:cs="Times New Roman" w:eastAsia="Times New Roman"/>
                <w:b w:val="0"/>
                <w:i w:val="0"/>
                <w:color w:val="333333"/>
                <w:sz w:val="20"/>
              </w:rPr>
              <w:t>5.195</w:t>
            </w:r>
          </w:p>
        </w:tc>
        <w:tc>
          <w:tcPr>
            <w:tcW w:type="dxa" w:w="2551"/>
            <w:shd w:val="clear" w:color="auto" w:fill="FFFFFF"/>
          </w:tcPr>
          <w:p>
            <w:pPr>
              <w:jc w:val="center"/>
            </w:pPr>
            <w:r/>
            <w:r>
              <w:rPr>
                <w:rFonts w:ascii="Times New Roman" w:hAnsi="Times New Roman" w:cs="Times New Roman" w:eastAsia="Times New Roman"/>
                <w:b w:val="0"/>
                <w:i w:val="0"/>
                <w:color w:val="333333"/>
                <w:sz w:val="20"/>
              </w:rPr>
            </w:r>
          </w:p>
        </w:tc>
      </w:tr>
    </w:tbl>
    <w:p>
      <w:pPr>
        <w:spacing w:after="240"/>
      </w:pPr>
    </w:p>
    <w:p>
      <w:pPr>
        <w:spacing w:before="200" w:after="120" w:line="240" w:lineRule="auto"/>
        <w:jc w:val="left"/>
        <w:keepNext/>
      </w:pPr>
      <w:r>
        <w:rPr>
          <w:rFonts w:ascii="Times New Roman" w:hAnsi="Times New Roman" w:cs="Times New Roman" w:eastAsia="Times New Roman"/>
          <w:b/>
          <w:i/>
          <w:color w:val="333333"/>
          <w:sz w:val="22"/>
        </w:rPr>
        <w:t>2.2. Öznitelik Çıkarma (Feature Extraction)</w:t>
      </w:r>
    </w:p>
    <w:p>
      <w:pPr>
        <w:spacing w:line="240" w:lineRule="auto" w:before="160" w:after="240"/>
        <w:jc w:val="both"/>
      </w:pPr>
      <w:r>
        <w:rPr>
          <w:rFonts w:ascii="Times New Roman" w:hAnsi="Times New Roman" w:cs="Times New Roman" w:eastAsia="Times New Roman"/>
          <w:b w:val="0"/>
          <w:i w:val="0"/>
          <w:color w:val="333333"/>
          <w:sz w:val="22"/>
        </w:rPr>
        <w:t>Her ses parçası 22.050 Hz örnekleme hızında yeniden örneklenmiş ve librosa [28] kütüphanesi kullanılarak 47 boyutlu bir öznitelik vektörüne dönüştürülmüştür. Bu vektör dört aileye ayrılmaktadır. Spektral aile (16 öznitelik), her birinin ortalama ve standart sapması olmak üzere; spektral merkezleme, spektral düzlük, spektral bant genişliği, spektral kontrast, spektral azalma ve mel düzlüğünü içermektedir. Zamansal aile (10 öznitelik) yüksekliği ve zamanlamayı kapsar: RMS enerji ve standart sapması, RMS dinamik aralığı, başlangıç gücü ortalama ve standart sapması, sıfır geçiş oranı ve standart sapması, tempo BPM, tempo kararlılığı ve tempo varyasyon katsayısı ile vuruş sayısı. Harmonik ve tonal aile (9 öznitelik) chroma standart sapması, chroma entropi, chroma geçiş oranı, tonnetz standart sapması, harmonik oran, kompozit bir harmonik-yapı skoru, mel düzlüğü, ortalama perde (Hz) ve perde standart sapmasını (cent) raporlamaktadır. MFCC ailesi (3 öznitelik) MFCC varyansını ve birinci ile ikinci derece delta varyanslarını içermektedir. Vokal aile (9 öznitelik) vokal varlık skoru, vokal güven, vokal yapay zekâ skoru, perde kararlılığı, vibrato düzenliliği, formant tutarlılığı, nefes düzeni, vokal doku ve vokal harmonik oranı ölçmektedir. Şekil 2, ilk sekiz öznitelik için insan ve yapay zekâ örneklerinin dağılımlarını karşılaştırmaktadır.</w:t>
      </w:r>
    </w:p>
    <w:p>
      <w:pPr>
        <w:spacing w:before="200" w:after="40"/>
        <w:jc w:val="center"/>
        <w:keepNext/>
      </w:pPr>
      <w:r>
        <w:drawing>
          <wp:inline xmlns:a="http://schemas.openxmlformats.org/drawingml/2006/main" xmlns:pic="http://schemas.openxmlformats.org/drawingml/2006/picture">
            <wp:extent cx="3060000" cy="1665489"/>
            <wp:docPr id="2" name="Picture 2"/>
            <wp:cNvGraphicFramePr>
              <a:graphicFrameLocks noChangeAspect="1"/>
            </wp:cNvGraphicFramePr>
            <a:graphic>
              <a:graphicData uri="http://schemas.openxmlformats.org/drawingml/2006/picture">
                <pic:pic>
                  <pic:nvPicPr>
                    <pic:cNvPr id="0" name="feature_distribution_ai_vs_human.png"/>
                    <pic:cNvPicPr/>
                  </pic:nvPicPr>
                  <pic:blipFill>
                    <a:blip r:embed="rId10"/>
                    <a:stretch>
                      <a:fillRect/>
                    </a:stretch>
                  </pic:blipFill>
                  <pic:spPr>
                    <a:xfrm>
                      <a:off x="0" y="0"/>
                      <a:ext cx="3060000" cy="1665489"/>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2. LightGBM önemine göre sıralanmış ilk sekiz özniteliğin insan (yeşil) ile yapay zekâ (kırmızı) örnekleri için dağılımı. Spektral düzlük panelleri log-eksen ile gösterilmiştir.</w:t>
      </w:r>
    </w:p>
    <w:p>
      <w:pPr>
        <w:spacing w:before="0" w:after="240"/>
        <w:jc w:val="center"/>
      </w:pPr>
      <w:r>
        <w:rPr>
          <w:rFonts w:ascii="Times New Roman" w:hAnsi="Times New Roman" w:cs="Times New Roman" w:eastAsia="Times New Roman"/>
          <w:b w:val="0"/>
          <w:i/>
          <w:color w:val="666666"/>
          <w:sz w:val="22"/>
        </w:rPr>
        <w:t>(Distribution of the top eight features by LightGBM importance, human (green) versus AI (red). The spectral flatness panels use a log x-axis.)</w:t>
      </w:r>
    </w:p>
    <w:p>
      <w:pPr>
        <w:spacing w:before="200" w:after="120" w:line="240" w:lineRule="auto"/>
        <w:jc w:val="left"/>
        <w:keepNext/>
      </w:pPr>
      <w:r>
        <w:rPr>
          <w:rFonts w:ascii="Times New Roman" w:hAnsi="Times New Roman" w:cs="Times New Roman" w:eastAsia="Times New Roman"/>
          <w:b/>
          <w:i/>
          <w:color w:val="333333"/>
          <w:sz w:val="22"/>
        </w:rPr>
        <w:t>2.3. Sınıflandırma Modelleri (Classification Models)</w:t>
      </w:r>
    </w:p>
    <w:p>
      <w:pPr>
        <w:spacing w:line="240" w:lineRule="auto" w:before="160" w:after="240"/>
        <w:jc w:val="both"/>
      </w:pPr>
      <w:r>
        <w:rPr>
          <w:rFonts w:ascii="Times New Roman" w:hAnsi="Times New Roman" w:cs="Times New Roman" w:eastAsia="Times New Roman"/>
          <w:b w:val="0"/>
          <w:i w:val="0"/>
          <w:color w:val="333333"/>
          <w:sz w:val="22"/>
        </w:rPr>
        <w:t>On bir sınıflandırma modeli, ortak bir 5-katlı çapraz doğrulama protokolü altında karşılaştırılmıştır. Yedi makine öğrenmesi modeli scikit-learn [29] kütüphanesi kullanılarak uygulanmıştır: dengeli sınıf ağırlığı ile Lojistik Regresyon (C=2,0), balanced_subsample örnekleme ile Rastgele Orman (n_estimators=500), Gradyan Artırma (n_estimators=180, max_depth=4, learning_rate=0,07), RBF çekirdeği ile destek vektör makinesi SVM (C=10,0, gamma=0,05), ÇKA Sinir Ağı, XGBoost [9] ve LightGBM [10]. SVM, izotonik kalibrasyon ile CalibratedClassifierCV içinde sarılarak diğer modellerle uyumlu olasılık çıktısı sağlanmıştır. Dört derin öğrenme mimarisi PyTorch ile uygulanmıştır: Deep MLP (512-256-128-64 boyutlu katmanlar, BatchNorm ve Dropout), 1D-CNN (öznitelik vektörü üzerinde tek boyutlu konvolüsyon), Residual MLP (üç bloklu artık bağlantılar) ve Attention MLP (öznitelik grupları üzerinde öz-dikkat mekanizması). Tüm derin modeller pos_weight ile ağırlıklandırılmış BCEWithLogitsLoss kullanmakta ve Adam [30] optimizasyonu ile eğitilmektedir. Tablo 3 her modelin hiperparametrelerini özetlemektedir.</w:t>
      </w:r>
    </w:p>
    <w:p>
      <w:pPr>
        <w:spacing w:before="200" w:after="40"/>
        <w:jc w:val="center"/>
        <w:keepNext/>
      </w:pPr>
      <w:r>
        <w:rPr>
          <w:rFonts w:ascii="Times New Roman" w:hAnsi="Times New Roman" w:cs="Times New Roman" w:eastAsia="Times New Roman"/>
          <w:b w:val="0"/>
          <w:i/>
          <w:color w:val="333333"/>
          <w:sz w:val="22"/>
        </w:rPr>
        <w:t>Tablo 3. On bir modelin temel hiperparametreleri</w:t>
      </w:r>
    </w:p>
    <w:p>
      <w:pPr>
        <w:spacing w:before="0" w:after="80"/>
        <w:jc w:val="center"/>
        <w:keepNext/>
      </w:pPr>
      <w:r>
        <w:rPr>
          <w:rFonts w:ascii="Times New Roman" w:hAnsi="Times New Roman" w:cs="Times New Roman" w:eastAsia="Times New Roman"/>
          <w:b w:val="0"/>
          <w:i/>
          <w:color w:val="666666"/>
          <w:sz w:val="22"/>
        </w:rPr>
        <w:t>(Key hyperparameters of the eleven models)</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C99347"/>
          </w:tcPr>
          <w:p>
            <w:pPr>
              <w:jc w:val="center"/>
            </w:pPr>
            <w:r/>
            <w:r>
              <w:rPr>
                <w:rFonts w:ascii="Times New Roman" w:hAnsi="Times New Roman" w:cs="Times New Roman" w:eastAsia="Times New Roman"/>
                <w:b/>
                <w:i w:val="0"/>
                <w:color w:val="FFFFFF"/>
                <w:sz w:val="20"/>
              </w:rPr>
              <w:t>Model</w:t>
            </w:r>
          </w:p>
        </w:tc>
        <w:tc>
          <w:tcPr>
            <w:tcW w:type="dxa" w:w="3402"/>
            <w:shd w:val="clear" w:color="auto" w:fill="C99347"/>
          </w:tcPr>
          <w:p>
            <w:pPr>
              <w:jc w:val="center"/>
            </w:pPr>
            <w:r/>
            <w:r>
              <w:rPr>
                <w:rFonts w:ascii="Times New Roman" w:hAnsi="Times New Roman" w:cs="Times New Roman" w:eastAsia="Times New Roman"/>
                <w:b/>
                <w:i w:val="0"/>
                <w:color w:val="FFFFFF"/>
                <w:sz w:val="20"/>
              </w:rPr>
              <w:t>Tip</w:t>
            </w:r>
          </w:p>
        </w:tc>
        <w:tc>
          <w:tcPr>
            <w:tcW w:type="dxa" w:w="3402"/>
            <w:shd w:val="clear" w:color="auto" w:fill="C99347"/>
          </w:tcPr>
          <w:p>
            <w:pPr>
              <w:jc w:val="center"/>
            </w:pPr>
            <w:r/>
            <w:r>
              <w:rPr>
                <w:rFonts w:ascii="Times New Roman" w:hAnsi="Times New Roman" w:cs="Times New Roman" w:eastAsia="Times New Roman"/>
                <w:b/>
                <w:i w:val="0"/>
                <w:color w:val="FFFFFF"/>
                <w:sz w:val="20"/>
              </w:rPr>
              <w:t>Temel Hiperparametreler</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Lojistik Regresyon</w:t>
            </w:r>
          </w:p>
        </w:tc>
        <w:tc>
          <w:tcPr>
            <w:tcW w:type="dxa" w:w="3402"/>
            <w:shd w:val="clear" w:color="auto" w:fill="FFFFFF"/>
          </w:tcPr>
          <w:p>
            <w:pPr>
              <w:jc w:val="center"/>
            </w:pPr>
            <w:r/>
            <w:r>
              <w:rPr>
                <w:rFonts w:ascii="Times New Roman" w:hAnsi="Times New Roman" w:cs="Times New Roman" w:eastAsia="Times New Roman"/>
                <w:b w:val="0"/>
                <w:i w:val="0"/>
                <w:color w:val="333333"/>
                <w:sz w:val="20"/>
              </w:rPr>
              <w:t>ML</w:t>
            </w:r>
          </w:p>
        </w:tc>
        <w:tc>
          <w:tcPr>
            <w:tcW w:type="dxa" w:w="3402"/>
            <w:shd w:val="clear" w:color="auto" w:fill="FFFFFF"/>
          </w:tcPr>
          <w:p>
            <w:pPr>
              <w:jc w:val="center"/>
            </w:pPr>
            <w:r/>
            <w:r>
              <w:rPr>
                <w:rFonts w:ascii="Times New Roman" w:hAnsi="Times New Roman" w:cs="Times New Roman" w:eastAsia="Times New Roman"/>
                <w:b w:val="0"/>
                <w:i w:val="0"/>
                <w:color w:val="333333"/>
                <w:sz w:val="20"/>
              </w:rPr>
              <w:t>C=2,0; max_iter=2500; class_weight=balanced</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Rastgele Orman</w:t>
            </w:r>
          </w:p>
        </w:tc>
        <w:tc>
          <w:tcPr>
            <w:tcW w:type="dxa" w:w="3402"/>
            <w:shd w:val="clear" w:color="auto" w:fill="F5F0E8"/>
          </w:tcPr>
          <w:p>
            <w:pPr>
              <w:jc w:val="center"/>
            </w:pPr>
            <w:r/>
            <w:r>
              <w:rPr>
                <w:rFonts w:ascii="Times New Roman" w:hAnsi="Times New Roman" w:cs="Times New Roman" w:eastAsia="Times New Roman"/>
                <w:b w:val="0"/>
                <w:i w:val="0"/>
                <w:color w:val="333333"/>
                <w:sz w:val="20"/>
              </w:rPr>
              <w:t>ML</w:t>
            </w:r>
          </w:p>
        </w:tc>
        <w:tc>
          <w:tcPr>
            <w:tcW w:type="dxa" w:w="3402"/>
            <w:shd w:val="clear" w:color="auto" w:fill="F5F0E8"/>
          </w:tcPr>
          <w:p>
            <w:pPr>
              <w:jc w:val="center"/>
            </w:pPr>
            <w:r/>
            <w:r>
              <w:rPr>
                <w:rFonts w:ascii="Times New Roman" w:hAnsi="Times New Roman" w:cs="Times New Roman" w:eastAsia="Times New Roman"/>
                <w:b w:val="0"/>
                <w:i w:val="0"/>
                <w:color w:val="333333"/>
                <w:sz w:val="20"/>
              </w:rPr>
              <w:t>n_estimators=500; max_features=log2</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Gradyan Artırma</w:t>
            </w:r>
          </w:p>
        </w:tc>
        <w:tc>
          <w:tcPr>
            <w:tcW w:type="dxa" w:w="3402"/>
            <w:shd w:val="clear" w:color="auto" w:fill="FFFFFF"/>
          </w:tcPr>
          <w:p>
            <w:pPr>
              <w:jc w:val="center"/>
            </w:pPr>
            <w:r/>
            <w:r>
              <w:rPr>
                <w:rFonts w:ascii="Times New Roman" w:hAnsi="Times New Roman" w:cs="Times New Roman" w:eastAsia="Times New Roman"/>
                <w:b w:val="0"/>
                <w:i w:val="0"/>
                <w:color w:val="333333"/>
                <w:sz w:val="20"/>
              </w:rPr>
              <w:t>ML</w:t>
            </w:r>
          </w:p>
        </w:tc>
        <w:tc>
          <w:tcPr>
            <w:tcW w:type="dxa" w:w="3402"/>
            <w:shd w:val="clear" w:color="auto" w:fill="FFFFFF"/>
          </w:tcPr>
          <w:p>
            <w:pPr>
              <w:jc w:val="center"/>
            </w:pPr>
            <w:r/>
            <w:r>
              <w:rPr>
                <w:rFonts w:ascii="Times New Roman" w:hAnsi="Times New Roman" w:cs="Times New Roman" w:eastAsia="Times New Roman"/>
                <w:b w:val="0"/>
                <w:i w:val="0"/>
                <w:color w:val="333333"/>
                <w:sz w:val="20"/>
              </w:rPr>
              <w:t>n_estimators=180; max_depth=4; lr=0,07</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SVM (RBF)</w:t>
            </w:r>
          </w:p>
        </w:tc>
        <w:tc>
          <w:tcPr>
            <w:tcW w:type="dxa" w:w="3402"/>
            <w:shd w:val="clear" w:color="auto" w:fill="F5F0E8"/>
          </w:tcPr>
          <w:p>
            <w:pPr>
              <w:jc w:val="center"/>
            </w:pPr>
            <w:r/>
            <w:r>
              <w:rPr>
                <w:rFonts w:ascii="Times New Roman" w:hAnsi="Times New Roman" w:cs="Times New Roman" w:eastAsia="Times New Roman"/>
                <w:b w:val="0"/>
                <w:i w:val="0"/>
                <w:color w:val="333333"/>
                <w:sz w:val="20"/>
              </w:rPr>
              <w:t>ML</w:t>
            </w:r>
          </w:p>
        </w:tc>
        <w:tc>
          <w:tcPr>
            <w:tcW w:type="dxa" w:w="3402"/>
            <w:shd w:val="clear" w:color="auto" w:fill="F5F0E8"/>
          </w:tcPr>
          <w:p>
            <w:pPr>
              <w:jc w:val="center"/>
            </w:pPr>
            <w:r/>
            <w:r>
              <w:rPr>
                <w:rFonts w:ascii="Times New Roman" w:hAnsi="Times New Roman" w:cs="Times New Roman" w:eastAsia="Times New Roman"/>
                <w:b w:val="0"/>
                <w:i w:val="0"/>
                <w:color w:val="333333"/>
                <w:sz w:val="20"/>
              </w:rPr>
              <w:t>C=10,0; gamma=0,05; izotonik kalibrasyon</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ÇKA Sinir Ağı</w:t>
            </w:r>
          </w:p>
        </w:tc>
        <w:tc>
          <w:tcPr>
            <w:tcW w:type="dxa" w:w="3402"/>
            <w:shd w:val="clear" w:color="auto" w:fill="FFFFFF"/>
          </w:tcPr>
          <w:p>
            <w:pPr>
              <w:jc w:val="center"/>
            </w:pPr>
            <w:r/>
            <w:r>
              <w:rPr>
                <w:rFonts w:ascii="Times New Roman" w:hAnsi="Times New Roman" w:cs="Times New Roman" w:eastAsia="Times New Roman"/>
                <w:b w:val="0"/>
                <w:i w:val="0"/>
                <w:color w:val="333333"/>
                <w:sz w:val="20"/>
              </w:rPr>
              <w:t>ML</w:t>
            </w:r>
          </w:p>
        </w:tc>
        <w:tc>
          <w:tcPr>
            <w:tcW w:type="dxa" w:w="3402"/>
            <w:shd w:val="clear" w:color="auto" w:fill="FFFFFF"/>
          </w:tcPr>
          <w:p>
            <w:pPr>
              <w:jc w:val="center"/>
            </w:pPr>
            <w:r/>
            <w:r>
              <w:rPr>
                <w:rFonts w:ascii="Times New Roman" w:hAnsi="Times New Roman" w:cs="Times New Roman" w:eastAsia="Times New Roman"/>
                <w:b w:val="0"/>
                <w:i w:val="0"/>
                <w:color w:val="333333"/>
                <w:sz w:val="20"/>
              </w:rPr>
              <w:t>Gizli katmanlar: 128-64; relu; adam</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XGBoost</w:t>
            </w:r>
          </w:p>
        </w:tc>
        <w:tc>
          <w:tcPr>
            <w:tcW w:type="dxa" w:w="3402"/>
            <w:shd w:val="clear" w:color="auto" w:fill="F5F0E8"/>
          </w:tcPr>
          <w:p>
            <w:pPr>
              <w:jc w:val="center"/>
            </w:pPr>
            <w:r/>
            <w:r>
              <w:rPr>
                <w:rFonts w:ascii="Times New Roman" w:hAnsi="Times New Roman" w:cs="Times New Roman" w:eastAsia="Times New Roman"/>
                <w:b w:val="0"/>
                <w:i w:val="0"/>
                <w:color w:val="333333"/>
                <w:sz w:val="20"/>
              </w:rPr>
              <w:t>ML</w:t>
            </w:r>
          </w:p>
        </w:tc>
        <w:tc>
          <w:tcPr>
            <w:tcW w:type="dxa" w:w="3402"/>
            <w:shd w:val="clear" w:color="auto" w:fill="F5F0E8"/>
          </w:tcPr>
          <w:p>
            <w:pPr>
              <w:jc w:val="center"/>
            </w:pPr>
            <w:r/>
            <w:r>
              <w:rPr>
                <w:rFonts w:ascii="Times New Roman" w:hAnsi="Times New Roman" w:cs="Times New Roman" w:eastAsia="Times New Roman"/>
                <w:b w:val="0"/>
                <w:i w:val="0"/>
                <w:color w:val="333333"/>
                <w:sz w:val="20"/>
              </w:rPr>
              <w:t>n_estimators=400; lr=0,05; max_depth=6</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LightGBM</w:t>
            </w:r>
          </w:p>
        </w:tc>
        <w:tc>
          <w:tcPr>
            <w:tcW w:type="dxa" w:w="3402"/>
            <w:shd w:val="clear" w:color="auto" w:fill="FFFFFF"/>
          </w:tcPr>
          <w:p>
            <w:pPr>
              <w:jc w:val="center"/>
            </w:pPr>
            <w:r/>
            <w:r>
              <w:rPr>
                <w:rFonts w:ascii="Times New Roman" w:hAnsi="Times New Roman" w:cs="Times New Roman" w:eastAsia="Times New Roman"/>
                <w:b w:val="0"/>
                <w:i w:val="0"/>
                <w:color w:val="333333"/>
                <w:sz w:val="20"/>
              </w:rPr>
              <w:t>ML</w:t>
            </w:r>
          </w:p>
        </w:tc>
        <w:tc>
          <w:tcPr>
            <w:tcW w:type="dxa" w:w="3402"/>
            <w:shd w:val="clear" w:color="auto" w:fill="FFFFFF"/>
          </w:tcPr>
          <w:p>
            <w:pPr>
              <w:jc w:val="center"/>
            </w:pPr>
            <w:r/>
            <w:r>
              <w:rPr>
                <w:rFonts w:ascii="Times New Roman" w:hAnsi="Times New Roman" w:cs="Times New Roman" w:eastAsia="Times New Roman"/>
                <w:b w:val="0"/>
                <w:i w:val="0"/>
                <w:color w:val="333333"/>
                <w:sz w:val="20"/>
              </w:rPr>
              <w:t>n_estimators=400; lr=0,05; num_leaves=31</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Deep MLP</w:t>
            </w:r>
          </w:p>
        </w:tc>
        <w:tc>
          <w:tcPr>
            <w:tcW w:type="dxa" w:w="3402"/>
            <w:shd w:val="clear" w:color="auto" w:fill="F5F0E8"/>
          </w:tcPr>
          <w:p>
            <w:pPr>
              <w:jc w:val="center"/>
            </w:pPr>
            <w:r/>
            <w:r>
              <w:rPr>
                <w:rFonts w:ascii="Times New Roman" w:hAnsi="Times New Roman" w:cs="Times New Roman" w:eastAsia="Times New Roman"/>
                <w:b w:val="0"/>
                <w:i w:val="0"/>
                <w:color w:val="333333"/>
                <w:sz w:val="20"/>
              </w:rPr>
              <w:t>DL</w:t>
            </w:r>
          </w:p>
        </w:tc>
        <w:tc>
          <w:tcPr>
            <w:tcW w:type="dxa" w:w="3402"/>
            <w:shd w:val="clear" w:color="auto" w:fill="F5F0E8"/>
          </w:tcPr>
          <w:p>
            <w:pPr>
              <w:jc w:val="center"/>
            </w:pPr>
            <w:r/>
            <w:r>
              <w:rPr>
                <w:rFonts w:ascii="Times New Roman" w:hAnsi="Times New Roman" w:cs="Times New Roman" w:eastAsia="Times New Roman"/>
                <w:b w:val="0"/>
                <w:i w:val="0"/>
                <w:color w:val="333333"/>
                <w:sz w:val="20"/>
              </w:rPr>
              <w:t>512-256-128-64; BatchNorm; Dropout</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1D-CNN</w:t>
            </w:r>
          </w:p>
        </w:tc>
        <w:tc>
          <w:tcPr>
            <w:tcW w:type="dxa" w:w="3402"/>
            <w:shd w:val="clear" w:color="auto" w:fill="FFFFFF"/>
          </w:tcPr>
          <w:p>
            <w:pPr>
              <w:jc w:val="center"/>
            </w:pPr>
            <w:r/>
            <w:r>
              <w:rPr>
                <w:rFonts w:ascii="Times New Roman" w:hAnsi="Times New Roman" w:cs="Times New Roman" w:eastAsia="Times New Roman"/>
                <w:b w:val="0"/>
                <w:i w:val="0"/>
                <w:color w:val="333333"/>
                <w:sz w:val="20"/>
              </w:rPr>
              <w:t>DL</w:t>
            </w:r>
          </w:p>
        </w:tc>
        <w:tc>
          <w:tcPr>
            <w:tcW w:type="dxa" w:w="3402"/>
            <w:shd w:val="clear" w:color="auto" w:fill="FFFFFF"/>
          </w:tcPr>
          <w:p>
            <w:pPr>
              <w:jc w:val="center"/>
            </w:pPr>
            <w:r/>
            <w:r>
              <w:rPr>
                <w:rFonts w:ascii="Times New Roman" w:hAnsi="Times New Roman" w:cs="Times New Roman" w:eastAsia="Times New Roman"/>
                <w:b w:val="0"/>
                <w:i w:val="0"/>
                <w:color w:val="333333"/>
                <w:sz w:val="20"/>
              </w:rPr>
              <w:t>Conv1D katmanları; max_pool; global avg</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Residual MLP</w:t>
            </w:r>
          </w:p>
        </w:tc>
        <w:tc>
          <w:tcPr>
            <w:tcW w:type="dxa" w:w="3402"/>
            <w:shd w:val="clear" w:color="auto" w:fill="F5F0E8"/>
          </w:tcPr>
          <w:p>
            <w:pPr>
              <w:jc w:val="center"/>
            </w:pPr>
            <w:r/>
            <w:r>
              <w:rPr>
                <w:rFonts w:ascii="Times New Roman" w:hAnsi="Times New Roman" w:cs="Times New Roman" w:eastAsia="Times New Roman"/>
                <w:b w:val="0"/>
                <w:i w:val="0"/>
                <w:color w:val="333333"/>
                <w:sz w:val="20"/>
              </w:rPr>
              <w:t>DL</w:t>
            </w:r>
          </w:p>
        </w:tc>
        <w:tc>
          <w:tcPr>
            <w:tcW w:type="dxa" w:w="3402"/>
            <w:shd w:val="clear" w:color="auto" w:fill="F5F0E8"/>
          </w:tcPr>
          <w:p>
            <w:pPr>
              <w:jc w:val="center"/>
            </w:pPr>
            <w:r/>
            <w:r>
              <w:rPr>
                <w:rFonts w:ascii="Times New Roman" w:hAnsi="Times New Roman" w:cs="Times New Roman" w:eastAsia="Times New Roman"/>
                <w:b w:val="0"/>
                <w:i w:val="0"/>
                <w:color w:val="333333"/>
                <w:sz w:val="20"/>
              </w:rPr>
              <w:t>3 artık blok; her blok: 256-256</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Attention MLP</w:t>
            </w:r>
          </w:p>
        </w:tc>
        <w:tc>
          <w:tcPr>
            <w:tcW w:type="dxa" w:w="3402"/>
            <w:shd w:val="clear" w:color="auto" w:fill="FFFFFF"/>
          </w:tcPr>
          <w:p>
            <w:pPr>
              <w:jc w:val="center"/>
            </w:pPr>
            <w:r/>
            <w:r>
              <w:rPr>
                <w:rFonts w:ascii="Times New Roman" w:hAnsi="Times New Roman" w:cs="Times New Roman" w:eastAsia="Times New Roman"/>
                <w:b w:val="0"/>
                <w:i w:val="0"/>
                <w:color w:val="333333"/>
                <w:sz w:val="20"/>
              </w:rPr>
              <w:t>DL</w:t>
            </w:r>
          </w:p>
        </w:tc>
        <w:tc>
          <w:tcPr>
            <w:tcW w:type="dxa" w:w="3402"/>
            <w:shd w:val="clear" w:color="auto" w:fill="FFFFFF"/>
          </w:tcPr>
          <w:p>
            <w:pPr>
              <w:jc w:val="center"/>
            </w:pPr>
            <w:r/>
            <w:r>
              <w:rPr>
                <w:rFonts w:ascii="Times New Roman" w:hAnsi="Times New Roman" w:cs="Times New Roman" w:eastAsia="Times New Roman"/>
                <w:b w:val="0"/>
                <w:i w:val="0"/>
                <w:color w:val="333333"/>
                <w:sz w:val="20"/>
              </w:rPr>
              <w:t>Öz-dikkat; 4 baş; gizli 128</w:t>
            </w:r>
          </w:p>
        </w:tc>
      </w:tr>
    </w:tbl>
    <w:p>
      <w:pPr>
        <w:spacing w:after="240"/>
      </w:pPr>
    </w:p>
    <w:p>
      <w:pPr>
        <w:spacing w:before="200" w:after="120" w:line="240" w:lineRule="auto"/>
        <w:jc w:val="left"/>
        <w:keepNext/>
      </w:pPr>
      <w:r>
        <w:rPr>
          <w:rFonts w:ascii="Times New Roman" w:hAnsi="Times New Roman" w:cs="Times New Roman" w:eastAsia="Times New Roman"/>
          <w:b/>
          <w:i/>
          <w:color w:val="333333"/>
          <w:sz w:val="22"/>
        </w:rPr>
        <w:t>2.4. Eğitim Protokolü ve Eşik Optimizasyonu (Training Protocol and Threshold Optimisation)</w:t>
      </w:r>
    </w:p>
    <w:p>
      <w:pPr>
        <w:spacing w:line="240" w:lineRule="auto" w:before="160" w:after="240"/>
        <w:jc w:val="both"/>
      </w:pPr>
      <w:r>
        <w:rPr>
          <w:rFonts w:ascii="Times New Roman" w:hAnsi="Times New Roman" w:cs="Times New Roman" w:eastAsia="Times New Roman"/>
          <w:b w:val="0"/>
          <w:i w:val="0"/>
          <w:color w:val="333333"/>
          <w:sz w:val="22"/>
        </w:rPr>
        <w:t>Tüm modeller stratifiye edilmiş 5-katlı çapraz doğrulama (random_state=42) ile değerlendirilmiştir. Her kat içinde StandardScaler eğitim alt kümesi üzerinde fit edilmiş, ardından doğrulama alt kümesi üzerinde transform uygulanmıştır; bu sayede veri sızıntısı önlenmiştir. Karar eşiği θ, varsayılan 0,5 yerine Youden'in J istatistiği ile optimize edilmiştir: J(θ) = TPR(θ) - FPR(θ), Denklem (1). Bu maksimizasyon, duyarlılık ile özgüllüğün toplamını maksimize eden eşiği seçer. LightGBM için Youden-optimal eşik θ* = 0,4316 olarak ölçülmüştür ve aşağıdaki tüm sonuçlar bu eşik altında raporlanmıştır. Olasılıkların kalibrasyon kalitesi Brier skoru ile değerlendirilmiştir, Denklem (2): BS = (1/N) Σᵢ (pᵢ - yᵢ)².</w:t>
      </w:r>
    </w:p>
    <w:p>
      <w:pPr>
        <w:spacing w:line="240" w:lineRule="auto" w:before="160" w:after="240"/>
        <w:jc w:val="both"/>
      </w:pPr>
      <w:r>
        <w:rPr>
          <w:rFonts w:ascii="Times New Roman" w:hAnsi="Times New Roman" w:cs="Times New Roman" w:eastAsia="Times New Roman"/>
          <w:b w:val="0"/>
          <w:i w:val="0"/>
          <w:color w:val="333333"/>
          <w:sz w:val="22"/>
        </w:rPr>
        <w:t>Modellerin yorumlanabilirliği, LightGBM üzerinde TreeSHAP [11] algoritması kullanılarak analiz edilmiştir. SHAP değerleri, her özniteliğin tahmine katkısını Shapley değerleri çerçevesinde tutarlı biçimde nicelleştirmektedir.</w:t>
      </w:r>
    </w:p>
    <w:p>
      <w:pPr>
        <w:spacing w:before="280" w:after="160" w:line="240" w:lineRule="auto"/>
        <w:jc w:val="left"/>
        <w:keepNext/>
      </w:pPr>
      <w:r>
        <w:rPr>
          <w:rFonts w:ascii="Times New Roman" w:hAnsi="Times New Roman" w:cs="Times New Roman" w:eastAsia="Times New Roman"/>
          <w:b/>
          <w:i w:val="0"/>
          <w:color w:val="333333"/>
          <w:sz w:val="24"/>
        </w:rPr>
        <w:t>3. SONUÇLAR VE TARTIŞMA (RESULTS AND DISCUSSION)</w:t>
      </w:r>
    </w:p>
    <w:p>
      <w:pPr>
        <w:spacing w:before="200" w:after="120" w:line="240" w:lineRule="auto"/>
        <w:jc w:val="left"/>
        <w:keepNext/>
      </w:pPr>
      <w:r>
        <w:rPr>
          <w:rFonts w:ascii="Times New Roman" w:hAnsi="Times New Roman" w:cs="Times New Roman" w:eastAsia="Times New Roman"/>
          <w:b/>
          <w:i/>
          <w:color w:val="333333"/>
          <w:sz w:val="22"/>
        </w:rPr>
        <w:t>3.1. Genel Model Performansı (Overall Model Performance)</w:t>
      </w:r>
    </w:p>
    <w:p>
      <w:pPr>
        <w:spacing w:line="240" w:lineRule="auto" w:before="160" w:after="240"/>
        <w:jc w:val="both"/>
      </w:pPr>
      <w:r>
        <w:rPr>
          <w:rFonts w:ascii="Times New Roman" w:hAnsi="Times New Roman" w:cs="Times New Roman" w:eastAsia="Times New Roman"/>
          <w:b w:val="0"/>
          <w:i w:val="0"/>
          <w:color w:val="333333"/>
          <w:sz w:val="22"/>
        </w:rPr>
        <w:t>Tablo 4, on bir modelin 5-katlı çapraz doğrulama sonuçlarını ROC-AUC'a göre sıralanmış biçimde sunmaktadır. LightGBM, %95,48 ortalama ROC-AUC değeri ile ilk sırada yer almakta ve Deep MLP %95,42 ile çok yakın bir ikinci sıra elde etmektedir; iki model arasındaki fark yalnızca 0,0006 AUC mertebesindedir. Üçüncü sıradaki XGBoost (%94,65) ve dördüncü sıradaki Residual MLP (%94,85) ile birlikte ilk dört modelin tamamı %94 üzerindeki ROC-AUC değerleriyle birbirine yakın performans göstermektedir. 1D-CNN, %85,43 ile en düşük performansı sergilemiştir; bu sonuç §3.10'da tartışılmaktadır. Şekil 3, dört derin öğrenme mimarisi için epok bazlı eğitim eğrilerini göstermektedir.</w:t>
      </w:r>
    </w:p>
    <w:p>
      <w:pPr>
        <w:spacing w:before="200" w:after="40"/>
        <w:jc w:val="center"/>
        <w:keepNext/>
      </w:pPr>
      <w:r>
        <w:rPr>
          <w:rFonts w:ascii="Times New Roman" w:hAnsi="Times New Roman" w:cs="Times New Roman" w:eastAsia="Times New Roman"/>
          <w:b w:val="0"/>
          <w:i/>
          <w:color w:val="333333"/>
          <w:sz w:val="22"/>
        </w:rPr>
        <w:t>Tablo 4. On bir sınıflandırıcının 5-katlı çapraz doğrulama sonuçları (ROC-AUC'a göre sıralı)</w:t>
      </w:r>
    </w:p>
    <w:p>
      <w:pPr>
        <w:spacing w:before="0" w:after="80"/>
        <w:jc w:val="center"/>
        <w:keepNext/>
      </w:pPr>
      <w:r>
        <w:rPr>
          <w:rFonts w:ascii="Times New Roman" w:hAnsi="Times New Roman" w:cs="Times New Roman" w:eastAsia="Times New Roman"/>
          <w:b w:val="0"/>
          <w:i/>
          <w:color w:val="666666"/>
          <w:sz w:val="22"/>
        </w:rPr>
        <w:t>(5-fold cross-validation results of the eleven classifiers, sorted by ROC-AUC)</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shd w:val="clear" w:color="auto" w:fill="C99347"/>
          </w:tcPr>
          <w:p>
            <w:pPr>
              <w:jc w:val="center"/>
            </w:pPr>
            <w:r/>
            <w:r>
              <w:rPr>
                <w:rFonts w:ascii="Times New Roman" w:hAnsi="Times New Roman" w:cs="Times New Roman" w:eastAsia="Times New Roman"/>
                <w:b/>
                <w:i w:val="0"/>
                <w:color w:val="FFFFFF"/>
                <w:sz w:val="20"/>
              </w:rPr>
              <w:t>Sıra</w:t>
            </w:r>
          </w:p>
        </w:tc>
        <w:tc>
          <w:tcPr>
            <w:tcW w:type="dxa" w:w="1458"/>
            <w:shd w:val="clear" w:color="auto" w:fill="C99347"/>
          </w:tcPr>
          <w:p>
            <w:pPr>
              <w:jc w:val="center"/>
            </w:pPr>
            <w:r/>
            <w:r>
              <w:rPr>
                <w:rFonts w:ascii="Times New Roman" w:hAnsi="Times New Roman" w:cs="Times New Roman" w:eastAsia="Times New Roman"/>
                <w:b/>
                <w:i w:val="0"/>
                <w:color w:val="FFFFFF"/>
                <w:sz w:val="20"/>
              </w:rPr>
              <w:t>Model</w:t>
            </w:r>
          </w:p>
        </w:tc>
        <w:tc>
          <w:tcPr>
            <w:tcW w:type="dxa" w:w="1458"/>
            <w:shd w:val="clear" w:color="auto" w:fill="C99347"/>
          </w:tcPr>
          <w:p>
            <w:pPr>
              <w:jc w:val="center"/>
            </w:pPr>
            <w:r/>
            <w:r>
              <w:rPr>
                <w:rFonts w:ascii="Times New Roman" w:hAnsi="Times New Roman" w:cs="Times New Roman" w:eastAsia="Times New Roman"/>
                <w:b/>
                <w:i w:val="0"/>
                <w:color w:val="FFFFFF"/>
                <w:sz w:val="20"/>
              </w:rPr>
              <w:t>Tip</w:t>
            </w:r>
          </w:p>
        </w:tc>
        <w:tc>
          <w:tcPr>
            <w:tcW w:type="dxa" w:w="1458"/>
            <w:shd w:val="clear" w:color="auto" w:fill="C99347"/>
          </w:tcPr>
          <w:p>
            <w:pPr>
              <w:jc w:val="center"/>
            </w:pPr>
            <w:r/>
            <w:r>
              <w:rPr>
                <w:rFonts w:ascii="Times New Roman" w:hAnsi="Times New Roman" w:cs="Times New Roman" w:eastAsia="Times New Roman"/>
                <w:b/>
                <w:i w:val="0"/>
                <w:color w:val="FFFFFF"/>
                <w:sz w:val="20"/>
              </w:rPr>
              <w:t>Doğruluk</w:t>
            </w:r>
          </w:p>
        </w:tc>
        <w:tc>
          <w:tcPr>
            <w:tcW w:type="dxa" w:w="1458"/>
            <w:shd w:val="clear" w:color="auto" w:fill="C99347"/>
          </w:tcPr>
          <w:p>
            <w:pPr>
              <w:jc w:val="center"/>
            </w:pPr>
            <w:r/>
            <w:r>
              <w:rPr>
                <w:rFonts w:ascii="Times New Roman" w:hAnsi="Times New Roman" w:cs="Times New Roman" w:eastAsia="Times New Roman"/>
                <w:b/>
                <w:i w:val="0"/>
                <w:color w:val="FFFFFF"/>
                <w:sz w:val="20"/>
              </w:rPr>
              <w:t>F1</w:t>
            </w:r>
          </w:p>
        </w:tc>
        <w:tc>
          <w:tcPr>
            <w:tcW w:type="dxa" w:w="1458"/>
            <w:shd w:val="clear" w:color="auto" w:fill="C99347"/>
          </w:tcPr>
          <w:p>
            <w:pPr>
              <w:jc w:val="center"/>
            </w:pPr>
            <w:r/>
            <w:r>
              <w:rPr>
                <w:rFonts w:ascii="Times New Roman" w:hAnsi="Times New Roman" w:cs="Times New Roman" w:eastAsia="Times New Roman"/>
                <w:b/>
                <w:i w:val="0"/>
                <w:color w:val="FFFFFF"/>
                <w:sz w:val="20"/>
              </w:rPr>
              <w:t>ROC-AUC</w:t>
            </w:r>
          </w:p>
        </w:tc>
        <w:tc>
          <w:tcPr>
            <w:tcW w:type="dxa" w:w="1458"/>
            <w:shd w:val="clear" w:color="auto" w:fill="C99347"/>
          </w:tcPr>
          <w:p>
            <w:pPr>
              <w:jc w:val="center"/>
            </w:pPr>
            <w:r/>
            <w:r>
              <w:rPr>
                <w:rFonts w:ascii="Times New Roman" w:hAnsi="Times New Roman" w:cs="Times New Roman" w:eastAsia="Times New Roman"/>
                <w:b/>
                <w:i w:val="0"/>
                <w:color w:val="FFFFFF"/>
                <w:sz w:val="20"/>
              </w:rPr>
              <w:t>θ*</w:t>
            </w:r>
          </w:p>
        </w:tc>
      </w:tr>
      <w:tr>
        <w:tc>
          <w:tcPr>
            <w:tcW w:type="dxa" w:w="1458"/>
            <w:shd w:val="clear" w:color="auto" w:fill="FFFFFF"/>
          </w:tcPr>
          <w:p>
            <w:pPr>
              <w:jc w:val="center"/>
            </w:pPr>
            <w:r/>
            <w:r>
              <w:rPr>
                <w:rFonts w:ascii="Times New Roman" w:hAnsi="Times New Roman" w:cs="Times New Roman" w:eastAsia="Times New Roman"/>
                <w:b w:val="0"/>
                <w:i w:val="0"/>
                <w:color w:val="333333"/>
                <w:sz w:val="20"/>
              </w:rPr>
              <w:t>1</w:t>
            </w:r>
          </w:p>
        </w:tc>
        <w:tc>
          <w:tcPr>
            <w:tcW w:type="dxa" w:w="1458"/>
            <w:shd w:val="clear" w:color="auto" w:fill="FFFFFF"/>
          </w:tcPr>
          <w:p>
            <w:pPr>
              <w:jc w:val="center"/>
            </w:pPr>
            <w:r/>
            <w:r>
              <w:rPr>
                <w:rFonts w:ascii="Times New Roman" w:hAnsi="Times New Roman" w:cs="Times New Roman" w:eastAsia="Times New Roman"/>
                <w:b w:val="0"/>
                <w:i w:val="0"/>
                <w:color w:val="333333"/>
                <w:sz w:val="20"/>
              </w:rPr>
              <w:t>LightGBM</w:t>
            </w:r>
          </w:p>
        </w:tc>
        <w:tc>
          <w:tcPr>
            <w:tcW w:type="dxa" w:w="1458"/>
            <w:shd w:val="clear" w:color="auto" w:fill="FFFFFF"/>
          </w:tcPr>
          <w:p>
            <w:pPr>
              <w:jc w:val="center"/>
            </w:pPr>
            <w:r/>
            <w:r>
              <w:rPr>
                <w:rFonts w:ascii="Times New Roman" w:hAnsi="Times New Roman" w:cs="Times New Roman" w:eastAsia="Times New Roman"/>
                <w:b w:val="0"/>
                <w:i w:val="0"/>
                <w:color w:val="333333"/>
                <w:sz w:val="20"/>
              </w:rPr>
              <w:t>ML</w:t>
            </w:r>
          </w:p>
        </w:tc>
        <w:tc>
          <w:tcPr>
            <w:tcW w:type="dxa" w:w="1458"/>
            <w:shd w:val="clear" w:color="auto" w:fill="FFFFFF"/>
          </w:tcPr>
          <w:p>
            <w:pPr>
              <w:jc w:val="center"/>
            </w:pPr>
            <w:r/>
            <w:r>
              <w:rPr>
                <w:rFonts w:ascii="Times New Roman" w:hAnsi="Times New Roman" w:cs="Times New Roman" w:eastAsia="Times New Roman"/>
                <w:b w:val="0"/>
                <w:i w:val="0"/>
                <w:color w:val="333333"/>
                <w:sz w:val="20"/>
              </w:rPr>
              <w:t>0,8839</w:t>
            </w:r>
          </w:p>
        </w:tc>
        <w:tc>
          <w:tcPr>
            <w:tcW w:type="dxa" w:w="1458"/>
            <w:shd w:val="clear" w:color="auto" w:fill="FFFFFF"/>
          </w:tcPr>
          <w:p>
            <w:pPr>
              <w:jc w:val="center"/>
            </w:pPr>
            <w:r/>
            <w:r>
              <w:rPr>
                <w:rFonts w:ascii="Times New Roman" w:hAnsi="Times New Roman" w:cs="Times New Roman" w:eastAsia="Times New Roman"/>
                <w:b w:val="0"/>
                <w:i w:val="0"/>
                <w:color w:val="333333"/>
                <w:sz w:val="20"/>
              </w:rPr>
              <w:t>0,8575</w:t>
            </w:r>
          </w:p>
        </w:tc>
        <w:tc>
          <w:tcPr>
            <w:tcW w:type="dxa" w:w="1458"/>
            <w:shd w:val="clear" w:color="auto" w:fill="FFFFFF"/>
          </w:tcPr>
          <w:p>
            <w:pPr>
              <w:jc w:val="center"/>
            </w:pPr>
            <w:r/>
            <w:r>
              <w:rPr>
                <w:rFonts w:ascii="Times New Roman" w:hAnsi="Times New Roman" w:cs="Times New Roman" w:eastAsia="Times New Roman"/>
                <w:b w:val="0"/>
                <w:i w:val="0"/>
                <w:color w:val="333333"/>
                <w:sz w:val="20"/>
              </w:rPr>
              <w:t>0,9548</w:t>
            </w:r>
          </w:p>
        </w:tc>
        <w:tc>
          <w:tcPr>
            <w:tcW w:type="dxa" w:w="1458"/>
            <w:shd w:val="clear" w:color="auto" w:fill="FFFFFF"/>
          </w:tcPr>
          <w:p>
            <w:pPr>
              <w:jc w:val="center"/>
            </w:pPr>
            <w:r/>
            <w:r>
              <w:rPr>
                <w:rFonts w:ascii="Times New Roman" w:hAnsi="Times New Roman" w:cs="Times New Roman" w:eastAsia="Times New Roman"/>
                <w:b w:val="0"/>
                <w:i w:val="0"/>
                <w:color w:val="333333"/>
                <w:sz w:val="20"/>
              </w:rPr>
              <w:t>0,4316</w:t>
            </w:r>
          </w:p>
        </w:tc>
      </w:tr>
      <w:tr>
        <w:tc>
          <w:tcPr>
            <w:tcW w:type="dxa" w:w="1458"/>
            <w:shd w:val="clear" w:color="auto" w:fill="F5F0E8"/>
          </w:tcPr>
          <w:p>
            <w:pPr>
              <w:jc w:val="center"/>
            </w:pPr>
            <w:r/>
            <w:r>
              <w:rPr>
                <w:rFonts w:ascii="Times New Roman" w:hAnsi="Times New Roman" w:cs="Times New Roman" w:eastAsia="Times New Roman"/>
                <w:b w:val="0"/>
                <w:i w:val="0"/>
                <w:color w:val="333333"/>
                <w:sz w:val="20"/>
              </w:rPr>
              <w:t>2</w:t>
            </w:r>
          </w:p>
        </w:tc>
        <w:tc>
          <w:tcPr>
            <w:tcW w:type="dxa" w:w="1458"/>
            <w:shd w:val="clear" w:color="auto" w:fill="F5F0E8"/>
          </w:tcPr>
          <w:p>
            <w:pPr>
              <w:jc w:val="center"/>
            </w:pPr>
            <w:r/>
            <w:r>
              <w:rPr>
                <w:rFonts w:ascii="Times New Roman" w:hAnsi="Times New Roman" w:cs="Times New Roman" w:eastAsia="Times New Roman"/>
                <w:b w:val="0"/>
                <w:i w:val="0"/>
                <w:color w:val="333333"/>
                <w:sz w:val="20"/>
              </w:rPr>
              <w:t>Deep MLP (512-256-128-64)</w:t>
            </w:r>
          </w:p>
        </w:tc>
        <w:tc>
          <w:tcPr>
            <w:tcW w:type="dxa" w:w="1458"/>
            <w:shd w:val="clear" w:color="auto" w:fill="F5F0E8"/>
          </w:tcPr>
          <w:p>
            <w:pPr>
              <w:jc w:val="center"/>
            </w:pPr>
            <w:r/>
            <w:r>
              <w:rPr>
                <w:rFonts w:ascii="Times New Roman" w:hAnsi="Times New Roman" w:cs="Times New Roman" w:eastAsia="Times New Roman"/>
                <w:b w:val="0"/>
                <w:i w:val="0"/>
                <w:color w:val="333333"/>
                <w:sz w:val="20"/>
              </w:rPr>
              <w:t>DL</w:t>
            </w:r>
          </w:p>
        </w:tc>
        <w:tc>
          <w:tcPr>
            <w:tcW w:type="dxa" w:w="1458"/>
            <w:shd w:val="clear" w:color="auto" w:fill="F5F0E8"/>
          </w:tcPr>
          <w:p>
            <w:pPr>
              <w:jc w:val="center"/>
            </w:pPr>
            <w:r/>
            <w:r>
              <w:rPr>
                <w:rFonts w:ascii="Times New Roman" w:hAnsi="Times New Roman" w:cs="Times New Roman" w:eastAsia="Times New Roman"/>
                <w:b w:val="0"/>
                <w:i w:val="0"/>
                <w:color w:val="333333"/>
                <w:sz w:val="20"/>
              </w:rPr>
              <w:t>0,8849</w:t>
            </w:r>
          </w:p>
        </w:tc>
        <w:tc>
          <w:tcPr>
            <w:tcW w:type="dxa" w:w="1458"/>
            <w:shd w:val="clear" w:color="auto" w:fill="F5F0E8"/>
          </w:tcPr>
          <w:p>
            <w:pPr>
              <w:jc w:val="center"/>
            </w:pPr>
            <w:r/>
            <w:r>
              <w:rPr>
                <w:rFonts w:ascii="Times New Roman" w:hAnsi="Times New Roman" w:cs="Times New Roman" w:eastAsia="Times New Roman"/>
                <w:b w:val="0"/>
                <w:i w:val="0"/>
                <w:color w:val="333333"/>
                <w:sz w:val="20"/>
              </w:rPr>
              <w:t>0,8596</w:t>
            </w:r>
          </w:p>
        </w:tc>
        <w:tc>
          <w:tcPr>
            <w:tcW w:type="dxa" w:w="1458"/>
            <w:shd w:val="clear" w:color="auto" w:fill="F5F0E8"/>
          </w:tcPr>
          <w:p>
            <w:pPr>
              <w:jc w:val="center"/>
            </w:pPr>
            <w:r/>
            <w:r>
              <w:rPr>
                <w:rFonts w:ascii="Times New Roman" w:hAnsi="Times New Roman" w:cs="Times New Roman" w:eastAsia="Times New Roman"/>
                <w:b w:val="0"/>
                <w:i w:val="0"/>
                <w:color w:val="333333"/>
                <w:sz w:val="20"/>
              </w:rPr>
              <w:t>0,9542</w:t>
            </w:r>
          </w:p>
        </w:tc>
        <w:tc>
          <w:tcPr>
            <w:tcW w:type="dxa" w:w="1458"/>
            <w:shd w:val="clear" w:color="auto" w:fill="F5F0E8"/>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FFFFF"/>
          </w:tcPr>
          <w:p>
            <w:pPr>
              <w:jc w:val="center"/>
            </w:pPr>
            <w:r/>
            <w:r>
              <w:rPr>
                <w:rFonts w:ascii="Times New Roman" w:hAnsi="Times New Roman" w:cs="Times New Roman" w:eastAsia="Times New Roman"/>
                <w:b w:val="0"/>
                <w:i w:val="0"/>
                <w:color w:val="333333"/>
                <w:sz w:val="20"/>
              </w:rPr>
              <w:t>3</w:t>
            </w:r>
          </w:p>
        </w:tc>
        <w:tc>
          <w:tcPr>
            <w:tcW w:type="dxa" w:w="1458"/>
            <w:shd w:val="clear" w:color="auto" w:fill="FFFFFF"/>
          </w:tcPr>
          <w:p>
            <w:pPr>
              <w:jc w:val="center"/>
            </w:pPr>
            <w:r/>
            <w:r>
              <w:rPr>
                <w:rFonts w:ascii="Times New Roman" w:hAnsi="Times New Roman" w:cs="Times New Roman" w:eastAsia="Times New Roman"/>
                <w:b w:val="0"/>
                <w:i w:val="0"/>
                <w:color w:val="333333"/>
                <w:sz w:val="20"/>
              </w:rPr>
              <w:t>Residual MLP (3 blok)</w:t>
            </w:r>
          </w:p>
        </w:tc>
        <w:tc>
          <w:tcPr>
            <w:tcW w:type="dxa" w:w="1458"/>
            <w:shd w:val="clear" w:color="auto" w:fill="FFFFFF"/>
          </w:tcPr>
          <w:p>
            <w:pPr>
              <w:jc w:val="center"/>
            </w:pPr>
            <w:r/>
            <w:r>
              <w:rPr>
                <w:rFonts w:ascii="Times New Roman" w:hAnsi="Times New Roman" w:cs="Times New Roman" w:eastAsia="Times New Roman"/>
                <w:b w:val="0"/>
                <w:i w:val="0"/>
                <w:color w:val="333333"/>
                <w:sz w:val="20"/>
              </w:rPr>
              <w:t>DL</w:t>
            </w:r>
          </w:p>
        </w:tc>
        <w:tc>
          <w:tcPr>
            <w:tcW w:type="dxa" w:w="1458"/>
            <w:shd w:val="clear" w:color="auto" w:fill="FFFFFF"/>
          </w:tcPr>
          <w:p>
            <w:pPr>
              <w:jc w:val="center"/>
            </w:pPr>
            <w:r/>
            <w:r>
              <w:rPr>
                <w:rFonts w:ascii="Times New Roman" w:hAnsi="Times New Roman" w:cs="Times New Roman" w:eastAsia="Times New Roman"/>
                <w:b w:val="0"/>
                <w:i w:val="0"/>
                <w:color w:val="333333"/>
                <w:sz w:val="20"/>
              </w:rPr>
              <w:t>0,8756</w:t>
            </w:r>
          </w:p>
        </w:tc>
        <w:tc>
          <w:tcPr>
            <w:tcW w:type="dxa" w:w="1458"/>
            <w:shd w:val="clear" w:color="auto" w:fill="FFFFFF"/>
          </w:tcPr>
          <w:p>
            <w:pPr>
              <w:jc w:val="center"/>
            </w:pPr>
            <w:r/>
            <w:r>
              <w:rPr>
                <w:rFonts w:ascii="Times New Roman" w:hAnsi="Times New Roman" w:cs="Times New Roman" w:eastAsia="Times New Roman"/>
                <w:b w:val="0"/>
                <w:i w:val="0"/>
                <w:color w:val="333333"/>
                <w:sz w:val="20"/>
              </w:rPr>
              <w:t>0,8476</w:t>
            </w:r>
          </w:p>
        </w:tc>
        <w:tc>
          <w:tcPr>
            <w:tcW w:type="dxa" w:w="1458"/>
            <w:shd w:val="clear" w:color="auto" w:fill="FFFFFF"/>
          </w:tcPr>
          <w:p>
            <w:pPr>
              <w:jc w:val="center"/>
            </w:pPr>
            <w:r/>
            <w:r>
              <w:rPr>
                <w:rFonts w:ascii="Times New Roman" w:hAnsi="Times New Roman" w:cs="Times New Roman" w:eastAsia="Times New Roman"/>
                <w:b w:val="0"/>
                <w:i w:val="0"/>
                <w:color w:val="333333"/>
                <w:sz w:val="20"/>
              </w:rPr>
              <w:t>0,9485</w:t>
            </w:r>
          </w:p>
        </w:tc>
        <w:tc>
          <w:tcPr>
            <w:tcW w:type="dxa" w:w="1458"/>
            <w:shd w:val="clear" w:color="auto" w:fill="FFFFFF"/>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5F0E8"/>
          </w:tcPr>
          <w:p>
            <w:pPr>
              <w:jc w:val="center"/>
            </w:pPr>
            <w:r/>
            <w:r>
              <w:rPr>
                <w:rFonts w:ascii="Times New Roman" w:hAnsi="Times New Roman" w:cs="Times New Roman" w:eastAsia="Times New Roman"/>
                <w:b w:val="0"/>
                <w:i w:val="0"/>
                <w:color w:val="333333"/>
                <w:sz w:val="20"/>
              </w:rPr>
              <w:t>4</w:t>
            </w:r>
          </w:p>
        </w:tc>
        <w:tc>
          <w:tcPr>
            <w:tcW w:type="dxa" w:w="1458"/>
            <w:shd w:val="clear" w:color="auto" w:fill="F5F0E8"/>
          </w:tcPr>
          <w:p>
            <w:pPr>
              <w:jc w:val="center"/>
            </w:pPr>
            <w:r/>
            <w:r>
              <w:rPr>
                <w:rFonts w:ascii="Times New Roman" w:hAnsi="Times New Roman" w:cs="Times New Roman" w:eastAsia="Times New Roman"/>
                <w:b w:val="0"/>
                <w:i w:val="0"/>
                <w:color w:val="333333"/>
                <w:sz w:val="20"/>
              </w:rPr>
              <w:t>XGBoost</w:t>
            </w:r>
          </w:p>
        </w:tc>
        <w:tc>
          <w:tcPr>
            <w:tcW w:type="dxa" w:w="1458"/>
            <w:shd w:val="clear" w:color="auto" w:fill="F5F0E8"/>
          </w:tcPr>
          <w:p>
            <w:pPr>
              <w:jc w:val="center"/>
            </w:pPr>
            <w:r/>
            <w:r>
              <w:rPr>
                <w:rFonts w:ascii="Times New Roman" w:hAnsi="Times New Roman" w:cs="Times New Roman" w:eastAsia="Times New Roman"/>
                <w:b w:val="0"/>
                <w:i w:val="0"/>
                <w:color w:val="333333"/>
                <w:sz w:val="20"/>
              </w:rPr>
              <w:t>ML</w:t>
            </w:r>
          </w:p>
        </w:tc>
        <w:tc>
          <w:tcPr>
            <w:tcW w:type="dxa" w:w="1458"/>
            <w:shd w:val="clear" w:color="auto" w:fill="F5F0E8"/>
          </w:tcPr>
          <w:p>
            <w:pPr>
              <w:jc w:val="center"/>
            </w:pPr>
            <w:r/>
            <w:r>
              <w:rPr>
                <w:rFonts w:ascii="Times New Roman" w:hAnsi="Times New Roman" w:cs="Times New Roman" w:eastAsia="Times New Roman"/>
                <w:b w:val="0"/>
                <w:i w:val="0"/>
                <w:color w:val="333333"/>
                <w:sz w:val="20"/>
              </w:rPr>
              <w:t>0,8751</w:t>
            </w:r>
          </w:p>
        </w:tc>
        <w:tc>
          <w:tcPr>
            <w:tcW w:type="dxa" w:w="1458"/>
            <w:shd w:val="clear" w:color="auto" w:fill="F5F0E8"/>
          </w:tcPr>
          <w:p>
            <w:pPr>
              <w:jc w:val="center"/>
            </w:pPr>
            <w:r/>
            <w:r>
              <w:rPr>
                <w:rFonts w:ascii="Times New Roman" w:hAnsi="Times New Roman" w:cs="Times New Roman" w:eastAsia="Times New Roman"/>
                <w:b w:val="0"/>
                <w:i w:val="0"/>
                <w:color w:val="333333"/>
                <w:sz w:val="20"/>
              </w:rPr>
              <w:t>0,8408</w:t>
            </w:r>
          </w:p>
        </w:tc>
        <w:tc>
          <w:tcPr>
            <w:tcW w:type="dxa" w:w="1458"/>
            <w:shd w:val="clear" w:color="auto" w:fill="F5F0E8"/>
          </w:tcPr>
          <w:p>
            <w:pPr>
              <w:jc w:val="center"/>
            </w:pPr>
            <w:r/>
            <w:r>
              <w:rPr>
                <w:rFonts w:ascii="Times New Roman" w:hAnsi="Times New Roman" w:cs="Times New Roman" w:eastAsia="Times New Roman"/>
                <w:b w:val="0"/>
                <w:i w:val="0"/>
                <w:color w:val="333333"/>
                <w:sz w:val="20"/>
              </w:rPr>
              <w:t>0,9465</w:t>
            </w:r>
          </w:p>
        </w:tc>
        <w:tc>
          <w:tcPr>
            <w:tcW w:type="dxa" w:w="1458"/>
            <w:shd w:val="clear" w:color="auto" w:fill="F5F0E8"/>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FFFFF"/>
          </w:tcPr>
          <w:p>
            <w:pPr>
              <w:jc w:val="center"/>
            </w:pPr>
            <w:r/>
            <w:r>
              <w:rPr>
                <w:rFonts w:ascii="Times New Roman" w:hAnsi="Times New Roman" w:cs="Times New Roman" w:eastAsia="Times New Roman"/>
                <w:b w:val="0"/>
                <w:i w:val="0"/>
                <w:color w:val="333333"/>
                <w:sz w:val="20"/>
              </w:rPr>
              <w:t>5</w:t>
            </w:r>
          </w:p>
        </w:tc>
        <w:tc>
          <w:tcPr>
            <w:tcW w:type="dxa" w:w="1458"/>
            <w:shd w:val="clear" w:color="auto" w:fill="FFFFFF"/>
          </w:tcPr>
          <w:p>
            <w:pPr>
              <w:jc w:val="center"/>
            </w:pPr>
            <w:r/>
            <w:r>
              <w:rPr>
                <w:rFonts w:ascii="Times New Roman" w:hAnsi="Times New Roman" w:cs="Times New Roman" w:eastAsia="Times New Roman"/>
                <w:b w:val="0"/>
                <w:i w:val="0"/>
                <w:color w:val="333333"/>
                <w:sz w:val="20"/>
              </w:rPr>
              <w:t>Gradyan Artırma</w:t>
            </w:r>
          </w:p>
        </w:tc>
        <w:tc>
          <w:tcPr>
            <w:tcW w:type="dxa" w:w="1458"/>
            <w:shd w:val="clear" w:color="auto" w:fill="FFFFFF"/>
          </w:tcPr>
          <w:p>
            <w:pPr>
              <w:jc w:val="center"/>
            </w:pPr>
            <w:r/>
            <w:r>
              <w:rPr>
                <w:rFonts w:ascii="Times New Roman" w:hAnsi="Times New Roman" w:cs="Times New Roman" w:eastAsia="Times New Roman"/>
                <w:b w:val="0"/>
                <w:i w:val="0"/>
                <w:color w:val="333333"/>
                <w:sz w:val="20"/>
              </w:rPr>
              <w:t>ML</w:t>
            </w:r>
          </w:p>
        </w:tc>
        <w:tc>
          <w:tcPr>
            <w:tcW w:type="dxa" w:w="1458"/>
            <w:shd w:val="clear" w:color="auto" w:fill="FFFFFF"/>
          </w:tcPr>
          <w:p>
            <w:pPr>
              <w:jc w:val="center"/>
            </w:pPr>
            <w:r/>
            <w:r>
              <w:rPr>
                <w:rFonts w:ascii="Times New Roman" w:hAnsi="Times New Roman" w:cs="Times New Roman" w:eastAsia="Times New Roman"/>
                <w:b w:val="0"/>
                <w:i w:val="0"/>
                <w:color w:val="333333"/>
                <w:sz w:val="20"/>
              </w:rPr>
              <w:t>0,8685</w:t>
            </w:r>
          </w:p>
        </w:tc>
        <w:tc>
          <w:tcPr>
            <w:tcW w:type="dxa" w:w="1458"/>
            <w:shd w:val="clear" w:color="auto" w:fill="FFFFFF"/>
          </w:tcPr>
          <w:p>
            <w:pPr>
              <w:jc w:val="center"/>
            </w:pPr>
            <w:r/>
            <w:r>
              <w:rPr>
                <w:rFonts w:ascii="Times New Roman" w:hAnsi="Times New Roman" w:cs="Times New Roman" w:eastAsia="Times New Roman"/>
                <w:b w:val="0"/>
                <w:i w:val="0"/>
                <w:color w:val="333333"/>
                <w:sz w:val="20"/>
              </w:rPr>
              <w:t>0,8337</w:t>
            </w:r>
          </w:p>
        </w:tc>
        <w:tc>
          <w:tcPr>
            <w:tcW w:type="dxa" w:w="1458"/>
            <w:shd w:val="clear" w:color="auto" w:fill="FFFFFF"/>
          </w:tcPr>
          <w:p>
            <w:pPr>
              <w:jc w:val="center"/>
            </w:pPr>
            <w:r/>
            <w:r>
              <w:rPr>
                <w:rFonts w:ascii="Times New Roman" w:hAnsi="Times New Roman" w:cs="Times New Roman" w:eastAsia="Times New Roman"/>
                <w:b w:val="0"/>
                <w:i w:val="0"/>
                <w:color w:val="333333"/>
                <w:sz w:val="20"/>
              </w:rPr>
              <w:t>0,9397</w:t>
            </w:r>
          </w:p>
        </w:tc>
        <w:tc>
          <w:tcPr>
            <w:tcW w:type="dxa" w:w="1458"/>
            <w:shd w:val="clear" w:color="auto" w:fill="FFFFFF"/>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5F0E8"/>
          </w:tcPr>
          <w:p>
            <w:pPr>
              <w:jc w:val="center"/>
            </w:pPr>
            <w:r/>
            <w:r>
              <w:rPr>
                <w:rFonts w:ascii="Times New Roman" w:hAnsi="Times New Roman" w:cs="Times New Roman" w:eastAsia="Times New Roman"/>
                <w:b w:val="0"/>
                <w:i w:val="0"/>
                <w:color w:val="333333"/>
                <w:sz w:val="20"/>
              </w:rPr>
              <w:t>6</w:t>
            </w:r>
          </w:p>
        </w:tc>
        <w:tc>
          <w:tcPr>
            <w:tcW w:type="dxa" w:w="1458"/>
            <w:shd w:val="clear" w:color="auto" w:fill="F5F0E8"/>
          </w:tcPr>
          <w:p>
            <w:pPr>
              <w:jc w:val="center"/>
            </w:pPr>
            <w:r/>
            <w:r>
              <w:rPr>
                <w:rFonts w:ascii="Times New Roman" w:hAnsi="Times New Roman" w:cs="Times New Roman" w:eastAsia="Times New Roman"/>
                <w:b w:val="0"/>
                <w:i w:val="0"/>
                <w:color w:val="333333"/>
                <w:sz w:val="20"/>
              </w:rPr>
              <w:t>Rastgele Orman</w:t>
            </w:r>
          </w:p>
        </w:tc>
        <w:tc>
          <w:tcPr>
            <w:tcW w:type="dxa" w:w="1458"/>
            <w:shd w:val="clear" w:color="auto" w:fill="F5F0E8"/>
          </w:tcPr>
          <w:p>
            <w:pPr>
              <w:jc w:val="center"/>
            </w:pPr>
            <w:r/>
            <w:r>
              <w:rPr>
                <w:rFonts w:ascii="Times New Roman" w:hAnsi="Times New Roman" w:cs="Times New Roman" w:eastAsia="Times New Roman"/>
                <w:b w:val="0"/>
                <w:i w:val="0"/>
                <w:color w:val="333333"/>
                <w:sz w:val="20"/>
              </w:rPr>
              <w:t>ML</w:t>
            </w:r>
          </w:p>
        </w:tc>
        <w:tc>
          <w:tcPr>
            <w:tcW w:type="dxa" w:w="1458"/>
            <w:shd w:val="clear" w:color="auto" w:fill="F5F0E8"/>
          </w:tcPr>
          <w:p>
            <w:pPr>
              <w:jc w:val="center"/>
            </w:pPr>
            <w:r/>
            <w:r>
              <w:rPr>
                <w:rFonts w:ascii="Times New Roman" w:hAnsi="Times New Roman" w:cs="Times New Roman" w:eastAsia="Times New Roman"/>
                <w:b w:val="0"/>
                <w:i w:val="0"/>
                <w:color w:val="333333"/>
                <w:sz w:val="20"/>
              </w:rPr>
              <w:t>0,8606</w:t>
            </w:r>
          </w:p>
        </w:tc>
        <w:tc>
          <w:tcPr>
            <w:tcW w:type="dxa" w:w="1458"/>
            <w:shd w:val="clear" w:color="auto" w:fill="F5F0E8"/>
          </w:tcPr>
          <w:p>
            <w:pPr>
              <w:jc w:val="center"/>
            </w:pPr>
            <w:r/>
            <w:r>
              <w:rPr>
                <w:rFonts w:ascii="Times New Roman" w:hAnsi="Times New Roman" w:cs="Times New Roman" w:eastAsia="Times New Roman"/>
                <w:b w:val="0"/>
                <w:i w:val="0"/>
                <w:color w:val="333333"/>
                <w:sz w:val="20"/>
              </w:rPr>
              <w:t>0,8183</w:t>
            </w:r>
          </w:p>
        </w:tc>
        <w:tc>
          <w:tcPr>
            <w:tcW w:type="dxa" w:w="1458"/>
            <w:shd w:val="clear" w:color="auto" w:fill="F5F0E8"/>
          </w:tcPr>
          <w:p>
            <w:pPr>
              <w:jc w:val="center"/>
            </w:pPr>
            <w:r/>
            <w:r>
              <w:rPr>
                <w:rFonts w:ascii="Times New Roman" w:hAnsi="Times New Roman" w:cs="Times New Roman" w:eastAsia="Times New Roman"/>
                <w:b w:val="0"/>
                <w:i w:val="0"/>
                <w:color w:val="333333"/>
                <w:sz w:val="20"/>
              </w:rPr>
              <w:t>0,9394</w:t>
            </w:r>
          </w:p>
        </w:tc>
        <w:tc>
          <w:tcPr>
            <w:tcW w:type="dxa" w:w="1458"/>
            <w:shd w:val="clear" w:color="auto" w:fill="F5F0E8"/>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FFFFF"/>
          </w:tcPr>
          <w:p>
            <w:pPr>
              <w:jc w:val="center"/>
            </w:pPr>
            <w:r/>
            <w:r>
              <w:rPr>
                <w:rFonts w:ascii="Times New Roman" w:hAnsi="Times New Roman" w:cs="Times New Roman" w:eastAsia="Times New Roman"/>
                <w:b w:val="0"/>
                <w:i w:val="0"/>
                <w:color w:val="333333"/>
                <w:sz w:val="20"/>
              </w:rPr>
              <w:t>7</w:t>
            </w:r>
          </w:p>
        </w:tc>
        <w:tc>
          <w:tcPr>
            <w:tcW w:type="dxa" w:w="1458"/>
            <w:shd w:val="clear" w:color="auto" w:fill="FFFFFF"/>
          </w:tcPr>
          <w:p>
            <w:pPr>
              <w:jc w:val="center"/>
            </w:pPr>
            <w:r/>
            <w:r>
              <w:rPr>
                <w:rFonts w:ascii="Times New Roman" w:hAnsi="Times New Roman" w:cs="Times New Roman" w:eastAsia="Times New Roman"/>
                <w:b w:val="0"/>
                <w:i w:val="0"/>
                <w:color w:val="333333"/>
                <w:sz w:val="20"/>
              </w:rPr>
              <w:t>Attention MLP</w:t>
            </w:r>
          </w:p>
        </w:tc>
        <w:tc>
          <w:tcPr>
            <w:tcW w:type="dxa" w:w="1458"/>
            <w:shd w:val="clear" w:color="auto" w:fill="FFFFFF"/>
          </w:tcPr>
          <w:p>
            <w:pPr>
              <w:jc w:val="center"/>
            </w:pPr>
            <w:r/>
            <w:r>
              <w:rPr>
                <w:rFonts w:ascii="Times New Roman" w:hAnsi="Times New Roman" w:cs="Times New Roman" w:eastAsia="Times New Roman"/>
                <w:b w:val="0"/>
                <w:i w:val="0"/>
                <w:color w:val="333333"/>
                <w:sz w:val="20"/>
              </w:rPr>
              <w:t>DL</w:t>
            </w:r>
          </w:p>
        </w:tc>
        <w:tc>
          <w:tcPr>
            <w:tcW w:type="dxa" w:w="1458"/>
            <w:shd w:val="clear" w:color="auto" w:fill="FFFFFF"/>
          </w:tcPr>
          <w:p>
            <w:pPr>
              <w:jc w:val="center"/>
            </w:pPr>
            <w:r/>
            <w:r>
              <w:rPr>
                <w:rFonts w:ascii="Times New Roman" w:hAnsi="Times New Roman" w:cs="Times New Roman" w:eastAsia="Times New Roman"/>
                <w:b w:val="0"/>
                <w:i w:val="0"/>
                <w:color w:val="333333"/>
                <w:sz w:val="20"/>
              </w:rPr>
              <w:t>0,8628</w:t>
            </w:r>
          </w:p>
        </w:tc>
        <w:tc>
          <w:tcPr>
            <w:tcW w:type="dxa" w:w="1458"/>
            <w:shd w:val="clear" w:color="auto" w:fill="FFFFFF"/>
          </w:tcPr>
          <w:p>
            <w:pPr>
              <w:jc w:val="center"/>
            </w:pPr>
            <w:r/>
            <w:r>
              <w:rPr>
                <w:rFonts w:ascii="Times New Roman" w:hAnsi="Times New Roman" w:cs="Times New Roman" w:eastAsia="Times New Roman"/>
                <w:b w:val="0"/>
                <w:i w:val="0"/>
                <w:color w:val="333333"/>
                <w:sz w:val="20"/>
              </w:rPr>
              <w:t>0,8293</w:t>
            </w:r>
          </w:p>
        </w:tc>
        <w:tc>
          <w:tcPr>
            <w:tcW w:type="dxa" w:w="1458"/>
            <w:shd w:val="clear" w:color="auto" w:fill="FFFFFF"/>
          </w:tcPr>
          <w:p>
            <w:pPr>
              <w:jc w:val="center"/>
            </w:pPr>
            <w:r/>
            <w:r>
              <w:rPr>
                <w:rFonts w:ascii="Times New Roman" w:hAnsi="Times New Roman" w:cs="Times New Roman" w:eastAsia="Times New Roman"/>
                <w:b w:val="0"/>
                <w:i w:val="0"/>
                <w:color w:val="333333"/>
                <w:sz w:val="20"/>
              </w:rPr>
              <w:t>0,9359</w:t>
            </w:r>
          </w:p>
        </w:tc>
        <w:tc>
          <w:tcPr>
            <w:tcW w:type="dxa" w:w="1458"/>
            <w:shd w:val="clear" w:color="auto" w:fill="FFFFFF"/>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5F0E8"/>
          </w:tcPr>
          <w:p>
            <w:pPr>
              <w:jc w:val="center"/>
            </w:pPr>
            <w:r/>
            <w:r>
              <w:rPr>
                <w:rFonts w:ascii="Times New Roman" w:hAnsi="Times New Roman" w:cs="Times New Roman" w:eastAsia="Times New Roman"/>
                <w:b w:val="0"/>
                <w:i w:val="0"/>
                <w:color w:val="333333"/>
                <w:sz w:val="20"/>
              </w:rPr>
              <w:t>8</w:t>
            </w:r>
          </w:p>
        </w:tc>
        <w:tc>
          <w:tcPr>
            <w:tcW w:type="dxa" w:w="1458"/>
            <w:shd w:val="clear" w:color="auto" w:fill="F5F0E8"/>
          </w:tcPr>
          <w:p>
            <w:pPr>
              <w:jc w:val="center"/>
            </w:pPr>
            <w:r/>
            <w:r>
              <w:rPr>
                <w:rFonts w:ascii="Times New Roman" w:hAnsi="Times New Roman" w:cs="Times New Roman" w:eastAsia="Times New Roman"/>
                <w:b w:val="0"/>
                <w:i w:val="0"/>
                <w:color w:val="333333"/>
                <w:sz w:val="20"/>
              </w:rPr>
              <w:t>SVM (RBF)</w:t>
            </w:r>
          </w:p>
        </w:tc>
        <w:tc>
          <w:tcPr>
            <w:tcW w:type="dxa" w:w="1458"/>
            <w:shd w:val="clear" w:color="auto" w:fill="F5F0E8"/>
          </w:tcPr>
          <w:p>
            <w:pPr>
              <w:jc w:val="center"/>
            </w:pPr>
            <w:r/>
            <w:r>
              <w:rPr>
                <w:rFonts w:ascii="Times New Roman" w:hAnsi="Times New Roman" w:cs="Times New Roman" w:eastAsia="Times New Roman"/>
                <w:b w:val="0"/>
                <w:i w:val="0"/>
                <w:color w:val="333333"/>
                <w:sz w:val="20"/>
              </w:rPr>
              <w:t>ML</w:t>
            </w:r>
          </w:p>
        </w:tc>
        <w:tc>
          <w:tcPr>
            <w:tcW w:type="dxa" w:w="1458"/>
            <w:shd w:val="clear" w:color="auto" w:fill="F5F0E8"/>
          </w:tcPr>
          <w:p>
            <w:pPr>
              <w:jc w:val="center"/>
            </w:pPr>
            <w:r/>
            <w:r>
              <w:rPr>
                <w:rFonts w:ascii="Times New Roman" w:hAnsi="Times New Roman" w:cs="Times New Roman" w:eastAsia="Times New Roman"/>
                <w:b w:val="0"/>
                <w:i w:val="0"/>
                <w:color w:val="333333"/>
                <w:sz w:val="20"/>
              </w:rPr>
              <w:t>0,8612</w:t>
            </w:r>
          </w:p>
        </w:tc>
        <w:tc>
          <w:tcPr>
            <w:tcW w:type="dxa" w:w="1458"/>
            <w:shd w:val="clear" w:color="auto" w:fill="F5F0E8"/>
          </w:tcPr>
          <w:p>
            <w:pPr>
              <w:jc w:val="center"/>
            </w:pPr>
            <w:r/>
            <w:r>
              <w:rPr>
                <w:rFonts w:ascii="Times New Roman" w:hAnsi="Times New Roman" w:cs="Times New Roman" w:eastAsia="Times New Roman"/>
                <w:b w:val="0"/>
                <w:i w:val="0"/>
                <w:color w:val="333333"/>
                <w:sz w:val="20"/>
              </w:rPr>
              <w:t>0,8252</w:t>
            </w:r>
          </w:p>
        </w:tc>
        <w:tc>
          <w:tcPr>
            <w:tcW w:type="dxa" w:w="1458"/>
            <w:shd w:val="clear" w:color="auto" w:fill="F5F0E8"/>
          </w:tcPr>
          <w:p>
            <w:pPr>
              <w:jc w:val="center"/>
            </w:pPr>
            <w:r/>
            <w:r>
              <w:rPr>
                <w:rFonts w:ascii="Times New Roman" w:hAnsi="Times New Roman" w:cs="Times New Roman" w:eastAsia="Times New Roman"/>
                <w:b w:val="0"/>
                <w:i w:val="0"/>
                <w:color w:val="333333"/>
                <w:sz w:val="20"/>
              </w:rPr>
              <w:t>0,9346</w:t>
            </w:r>
          </w:p>
        </w:tc>
        <w:tc>
          <w:tcPr>
            <w:tcW w:type="dxa" w:w="1458"/>
            <w:shd w:val="clear" w:color="auto" w:fill="F5F0E8"/>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FFFFF"/>
          </w:tcPr>
          <w:p>
            <w:pPr>
              <w:jc w:val="center"/>
            </w:pPr>
            <w:r/>
            <w:r>
              <w:rPr>
                <w:rFonts w:ascii="Times New Roman" w:hAnsi="Times New Roman" w:cs="Times New Roman" w:eastAsia="Times New Roman"/>
                <w:b w:val="0"/>
                <w:i w:val="0"/>
                <w:color w:val="333333"/>
                <w:sz w:val="20"/>
              </w:rPr>
              <w:t>9</w:t>
            </w:r>
          </w:p>
        </w:tc>
        <w:tc>
          <w:tcPr>
            <w:tcW w:type="dxa" w:w="1458"/>
            <w:shd w:val="clear" w:color="auto" w:fill="FFFFFF"/>
          </w:tcPr>
          <w:p>
            <w:pPr>
              <w:jc w:val="center"/>
            </w:pPr>
            <w:r/>
            <w:r>
              <w:rPr>
                <w:rFonts w:ascii="Times New Roman" w:hAnsi="Times New Roman" w:cs="Times New Roman" w:eastAsia="Times New Roman"/>
                <w:b w:val="0"/>
                <w:i w:val="0"/>
                <w:color w:val="333333"/>
                <w:sz w:val="20"/>
              </w:rPr>
              <w:t>ÇKA Sinir Ağı</w:t>
            </w:r>
          </w:p>
        </w:tc>
        <w:tc>
          <w:tcPr>
            <w:tcW w:type="dxa" w:w="1458"/>
            <w:shd w:val="clear" w:color="auto" w:fill="FFFFFF"/>
          </w:tcPr>
          <w:p>
            <w:pPr>
              <w:jc w:val="center"/>
            </w:pPr>
            <w:r/>
            <w:r>
              <w:rPr>
                <w:rFonts w:ascii="Times New Roman" w:hAnsi="Times New Roman" w:cs="Times New Roman" w:eastAsia="Times New Roman"/>
                <w:b w:val="0"/>
                <w:i w:val="0"/>
                <w:color w:val="333333"/>
                <w:sz w:val="20"/>
              </w:rPr>
              <w:t>ML</w:t>
            </w:r>
          </w:p>
        </w:tc>
        <w:tc>
          <w:tcPr>
            <w:tcW w:type="dxa" w:w="1458"/>
            <w:shd w:val="clear" w:color="auto" w:fill="FFFFFF"/>
          </w:tcPr>
          <w:p>
            <w:pPr>
              <w:jc w:val="center"/>
            </w:pPr>
            <w:r/>
            <w:r>
              <w:rPr>
                <w:rFonts w:ascii="Times New Roman" w:hAnsi="Times New Roman" w:cs="Times New Roman" w:eastAsia="Times New Roman"/>
                <w:b w:val="0"/>
                <w:i w:val="0"/>
                <w:color w:val="333333"/>
                <w:sz w:val="20"/>
              </w:rPr>
              <w:t>0,8566</w:t>
            </w:r>
          </w:p>
        </w:tc>
        <w:tc>
          <w:tcPr>
            <w:tcW w:type="dxa" w:w="1458"/>
            <w:shd w:val="clear" w:color="auto" w:fill="FFFFFF"/>
          </w:tcPr>
          <w:p>
            <w:pPr>
              <w:jc w:val="center"/>
            </w:pPr>
            <w:r/>
            <w:r>
              <w:rPr>
                <w:rFonts w:ascii="Times New Roman" w:hAnsi="Times New Roman" w:cs="Times New Roman" w:eastAsia="Times New Roman"/>
                <w:b w:val="0"/>
                <w:i w:val="0"/>
                <w:color w:val="333333"/>
                <w:sz w:val="20"/>
              </w:rPr>
              <w:t>0,8189</w:t>
            </w:r>
          </w:p>
        </w:tc>
        <w:tc>
          <w:tcPr>
            <w:tcW w:type="dxa" w:w="1458"/>
            <w:shd w:val="clear" w:color="auto" w:fill="FFFFFF"/>
          </w:tcPr>
          <w:p>
            <w:pPr>
              <w:jc w:val="center"/>
            </w:pPr>
            <w:r/>
            <w:r>
              <w:rPr>
                <w:rFonts w:ascii="Times New Roman" w:hAnsi="Times New Roman" w:cs="Times New Roman" w:eastAsia="Times New Roman"/>
                <w:b w:val="0"/>
                <w:i w:val="0"/>
                <w:color w:val="333333"/>
                <w:sz w:val="20"/>
              </w:rPr>
              <w:t>0,9276</w:t>
            </w:r>
          </w:p>
        </w:tc>
        <w:tc>
          <w:tcPr>
            <w:tcW w:type="dxa" w:w="1458"/>
            <w:shd w:val="clear" w:color="auto" w:fill="FFFFFF"/>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5F0E8"/>
          </w:tcPr>
          <w:p>
            <w:pPr>
              <w:jc w:val="center"/>
            </w:pPr>
            <w:r/>
            <w:r>
              <w:rPr>
                <w:rFonts w:ascii="Times New Roman" w:hAnsi="Times New Roman" w:cs="Times New Roman" w:eastAsia="Times New Roman"/>
                <w:b w:val="0"/>
                <w:i w:val="0"/>
                <w:color w:val="333333"/>
                <w:sz w:val="20"/>
              </w:rPr>
              <w:t>10</w:t>
            </w:r>
          </w:p>
        </w:tc>
        <w:tc>
          <w:tcPr>
            <w:tcW w:type="dxa" w:w="1458"/>
            <w:shd w:val="clear" w:color="auto" w:fill="F5F0E8"/>
          </w:tcPr>
          <w:p>
            <w:pPr>
              <w:jc w:val="center"/>
            </w:pPr>
            <w:r/>
            <w:r>
              <w:rPr>
                <w:rFonts w:ascii="Times New Roman" w:hAnsi="Times New Roman" w:cs="Times New Roman" w:eastAsia="Times New Roman"/>
                <w:b w:val="0"/>
                <w:i w:val="0"/>
                <w:color w:val="333333"/>
                <w:sz w:val="20"/>
              </w:rPr>
              <w:t>1D-CNN</w:t>
            </w:r>
          </w:p>
        </w:tc>
        <w:tc>
          <w:tcPr>
            <w:tcW w:type="dxa" w:w="1458"/>
            <w:shd w:val="clear" w:color="auto" w:fill="F5F0E8"/>
          </w:tcPr>
          <w:p>
            <w:pPr>
              <w:jc w:val="center"/>
            </w:pPr>
            <w:r/>
            <w:r>
              <w:rPr>
                <w:rFonts w:ascii="Times New Roman" w:hAnsi="Times New Roman" w:cs="Times New Roman" w:eastAsia="Times New Roman"/>
                <w:b w:val="0"/>
                <w:i w:val="0"/>
                <w:color w:val="333333"/>
                <w:sz w:val="20"/>
              </w:rPr>
              <w:t>DL</w:t>
            </w:r>
          </w:p>
        </w:tc>
        <w:tc>
          <w:tcPr>
            <w:tcW w:type="dxa" w:w="1458"/>
            <w:shd w:val="clear" w:color="auto" w:fill="F5F0E8"/>
          </w:tcPr>
          <w:p>
            <w:pPr>
              <w:jc w:val="center"/>
            </w:pPr>
            <w:r/>
            <w:r>
              <w:rPr>
                <w:rFonts w:ascii="Times New Roman" w:hAnsi="Times New Roman" w:cs="Times New Roman" w:eastAsia="Times New Roman"/>
                <w:b w:val="0"/>
                <w:i w:val="0"/>
                <w:color w:val="333333"/>
                <w:sz w:val="20"/>
              </w:rPr>
              <w:t>0,7665</w:t>
            </w:r>
          </w:p>
        </w:tc>
        <w:tc>
          <w:tcPr>
            <w:tcW w:type="dxa" w:w="1458"/>
            <w:shd w:val="clear" w:color="auto" w:fill="F5F0E8"/>
          </w:tcPr>
          <w:p>
            <w:pPr>
              <w:jc w:val="center"/>
            </w:pPr>
            <w:r/>
            <w:r>
              <w:rPr>
                <w:rFonts w:ascii="Times New Roman" w:hAnsi="Times New Roman" w:cs="Times New Roman" w:eastAsia="Times New Roman"/>
                <w:b w:val="0"/>
                <w:i w:val="0"/>
                <w:color w:val="333333"/>
                <w:sz w:val="20"/>
              </w:rPr>
              <w:t>0,7159</w:t>
            </w:r>
          </w:p>
        </w:tc>
        <w:tc>
          <w:tcPr>
            <w:tcW w:type="dxa" w:w="1458"/>
            <w:shd w:val="clear" w:color="auto" w:fill="F5F0E8"/>
          </w:tcPr>
          <w:p>
            <w:pPr>
              <w:jc w:val="center"/>
            </w:pPr>
            <w:r/>
            <w:r>
              <w:rPr>
                <w:rFonts w:ascii="Times New Roman" w:hAnsi="Times New Roman" w:cs="Times New Roman" w:eastAsia="Times New Roman"/>
                <w:b w:val="0"/>
                <w:i w:val="0"/>
                <w:color w:val="333333"/>
                <w:sz w:val="20"/>
              </w:rPr>
              <w:t>0,8543</w:t>
            </w:r>
          </w:p>
        </w:tc>
        <w:tc>
          <w:tcPr>
            <w:tcW w:type="dxa" w:w="1458"/>
            <w:shd w:val="clear" w:color="auto" w:fill="F5F0E8"/>
          </w:tcPr>
          <w:p>
            <w:pPr>
              <w:jc w:val="center"/>
            </w:pPr>
            <w:r/>
            <w:r>
              <w:rPr>
                <w:rFonts w:ascii="Times New Roman" w:hAnsi="Times New Roman" w:cs="Times New Roman" w:eastAsia="Times New Roman"/>
                <w:b w:val="0"/>
                <w:i w:val="0"/>
                <w:color w:val="333333"/>
                <w:sz w:val="20"/>
              </w:rPr>
              <w:t>—</w:t>
            </w:r>
          </w:p>
        </w:tc>
      </w:tr>
      <w:tr>
        <w:tc>
          <w:tcPr>
            <w:tcW w:type="dxa" w:w="1458"/>
            <w:shd w:val="clear" w:color="auto" w:fill="FFFFFF"/>
          </w:tcPr>
          <w:p>
            <w:pPr>
              <w:jc w:val="center"/>
            </w:pPr>
            <w:r/>
            <w:r>
              <w:rPr>
                <w:rFonts w:ascii="Times New Roman" w:hAnsi="Times New Roman" w:cs="Times New Roman" w:eastAsia="Times New Roman"/>
                <w:b w:val="0"/>
                <w:i w:val="0"/>
                <w:color w:val="333333"/>
                <w:sz w:val="20"/>
              </w:rPr>
              <w:t>11</w:t>
            </w:r>
          </w:p>
        </w:tc>
        <w:tc>
          <w:tcPr>
            <w:tcW w:type="dxa" w:w="1458"/>
            <w:shd w:val="clear" w:color="auto" w:fill="FFFFFF"/>
          </w:tcPr>
          <w:p>
            <w:pPr>
              <w:jc w:val="center"/>
            </w:pPr>
            <w:r/>
            <w:r>
              <w:rPr>
                <w:rFonts w:ascii="Times New Roman" w:hAnsi="Times New Roman" w:cs="Times New Roman" w:eastAsia="Times New Roman"/>
                <w:b w:val="0"/>
                <w:i w:val="0"/>
                <w:color w:val="333333"/>
                <w:sz w:val="20"/>
              </w:rPr>
              <w:t>Lojistik Regresyon</w:t>
            </w:r>
          </w:p>
        </w:tc>
        <w:tc>
          <w:tcPr>
            <w:tcW w:type="dxa" w:w="1458"/>
            <w:shd w:val="clear" w:color="auto" w:fill="FFFFFF"/>
          </w:tcPr>
          <w:p>
            <w:pPr>
              <w:jc w:val="center"/>
            </w:pPr>
            <w:r/>
            <w:r>
              <w:rPr>
                <w:rFonts w:ascii="Times New Roman" w:hAnsi="Times New Roman" w:cs="Times New Roman" w:eastAsia="Times New Roman"/>
                <w:b w:val="0"/>
                <w:i w:val="0"/>
                <w:color w:val="333333"/>
                <w:sz w:val="20"/>
              </w:rPr>
              <w:t>ML</w:t>
            </w:r>
          </w:p>
        </w:tc>
        <w:tc>
          <w:tcPr>
            <w:tcW w:type="dxa" w:w="1458"/>
            <w:shd w:val="clear" w:color="auto" w:fill="FFFFFF"/>
          </w:tcPr>
          <w:p>
            <w:pPr>
              <w:jc w:val="center"/>
            </w:pPr>
            <w:r/>
            <w:r>
              <w:rPr>
                <w:rFonts w:ascii="Times New Roman" w:hAnsi="Times New Roman" w:cs="Times New Roman" w:eastAsia="Times New Roman"/>
                <w:b w:val="0"/>
                <w:i w:val="0"/>
                <w:color w:val="333333"/>
                <w:sz w:val="20"/>
              </w:rPr>
              <w:t>0,7779</w:t>
            </w:r>
          </w:p>
        </w:tc>
        <w:tc>
          <w:tcPr>
            <w:tcW w:type="dxa" w:w="1458"/>
            <w:shd w:val="clear" w:color="auto" w:fill="FFFFFF"/>
          </w:tcPr>
          <w:p>
            <w:pPr>
              <w:jc w:val="center"/>
            </w:pPr>
            <w:r/>
            <w:r>
              <w:rPr>
                <w:rFonts w:ascii="Times New Roman" w:hAnsi="Times New Roman" w:cs="Times New Roman" w:eastAsia="Times New Roman"/>
                <w:b w:val="0"/>
                <w:i w:val="0"/>
                <w:color w:val="333333"/>
                <w:sz w:val="20"/>
              </w:rPr>
              <w:t>0,7390</w:t>
            </w:r>
          </w:p>
        </w:tc>
        <w:tc>
          <w:tcPr>
            <w:tcW w:type="dxa" w:w="1458"/>
            <w:shd w:val="clear" w:color="auto" w:fill="FFFFFF"/>
          </w:tcPr>
          <w:p>
            <w:pPr>
              <w:jc w:val="center"/>
            </w:pPr>
            <w:r/>
            <w:r>
              <w:rPr>
                <w:rFonts w:ascii="Times New Roman" w:hAnsi="Times New Roman" w:cs="Times New Roman" w:eastAsia="Times New Roman"/>
                <w:b w:val="0"/>
                <w:i w:val="0"/>
                <w:color w:val="333333"/>
                <w:sz w:val="20"/>
              </w:rPr>
              <w:t>0,8515</w:t>
            </w:r>
          </w:p>
        </w:tc>
        <w:tc>
          <w:tcPr>
            <w:tcW w:type="dxa" w:w="1458"/>
            <w:shd w:val="clear" w:color="auto" w:fill="FFFFFF"/>
          </w:tcPr>
          <w:p>
            <w:pPr>
              <w:jc w:val="center"/>
            </w:pPr>
            <w:r/>
            <w:r>
              <w:rPr>
                <w:rFonts w:ascii="Times New Roman" w:hAnsi="Times New Roman" w:cs="Times New Roman" w:eastAsia="Times New Roman"/>
                <w:b w:val="0"/>
                <w:i w:val="0"/>
                <w:color w:val="333333"/>
                <w:sz w:val="20"/>
              </w:rPr>
              <w:t>—</w:t>
            </w:r>
          </w:p>
        </w:tc>
      </w:tr>
    </w:tbl>
    <w:p>
      <w:pPr>
        <w:spacing w:after="240"/>
      </w:pPr>
    </w:p>
    <w:p>
      <w:pPr>
        <w:spacing w:before="200" w:after="40"/>
        <w:jc w:val="center"/>
        <w:keepNext/>
      </w:pPr>
      <w:r>
        <w:drawing>
          <wp:inline xmlns:a="http://schemas.openxmlformats.org/drawingml/2006/main" xmlns:pic="http://schemas.openxmlformats.org/drawingml/2006/picture">
            <wp:extent cx="2880000" cy="1424601"/>
            <wp:docPr id="3" name="Picture 3"/>
            <wp:cNvGraphicFramePr>
              <a:graphicFrameLocks noChangeAspect="1"/>
            </wp:cNvGraphicFramePr>
            <a:graphic>
              <a:graphicData uri="http://schemas.openxmlformats.org/drawingml/2006/picture">
                <pic:pic>
                  <pic:nvPicPr>
                    <pic:cNvPr id="0" name="paper_model_comparison.png"/>
                    <pic:cNvPicPr/>
                  </pic:nvPicPr>
                  <pic:blipFill>
                    <a:blip r:embed="rId11"/>
                    <a:stretch>
                      <a:fillRect/>
                    </a:stretch>
                  </pic:blipFill>
                  <pic:spPr>
                    <a:xfrm>
                      <a:off x="0" y="0"/>
                      <a:ext cx="2880000" cy="1424601"/>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3. On bir sınıflandırıcının doğruluk, F1 ve ROC-AUC değerlerinin AUC'a göre azalan sırayla karşılaştırılması.</w:t>
      </w:r>
    </w:p>
    <w:p>
      <w:pPr>
        <w:spacing w:before="0" w:after="240"/>
        <w:jc w:val="center"/>
      </w:pPr>
      <w:r>
        <w:rPr>
          <w:rFonts w:ascii="Times New Roman" w:hAnsi="Times New Roman" w:cs="Times New Roman" w:eastAsia="Times New Roman"/>
          <w:b w:val="0"/>
          <w:i/>
          <w:color w:val="666666"/>
          <w:sz w:val="22"/>
        </w:rPr>
        <w:t>(Comparison of accuracy, F1 and ROC-AUC across the eleven classifiers, sorted by AUC in descending order.)</w:t>
      </w:r>
    </w:p>
    <w:p>
      <w:pPr>
        <w:spacing w:before="200" w:after="40"/>
        <w:jc w:val="center"/>
        <w:keepNext/>
      </w:pPr>
      <w:r>
        <w:drawing>
          <wp:inline xmlns:a="http://schemas.openxmlformats.org/drawingml/2006/main" xmlns:pic="http://schemas.openxmlformats.org/drawingml/2006/picture">
            <wp:extent cx="3060000" cy="2558528"/>
            <wp:docPr id="4" name="Picture 4"/>
            <wp:cNvGraphicFramePr>
              <a:graphicFrameLocks noChangeAspect="1"/>
            </wp:cNvGraphicFramePr>
            <a:graphic>
              <a:graphicData uri="http://schemas.openxmlformats.org/drawingml/2006/picture">
                <pic:pic>
                  <pic:nvPicPr>
                    <pic:cNvPr id="0" name="paper_roc_curves.png"/>
                    <pic:cNvPicPr/>
                  </pic:nvPicPr>
                  <pic:blipFill>
                    <a:blip r:embed="rId12"/>
                    <a:stretch>
                      <a:fillRect/>
                    </a:stretch>
                  </pic:blipFill>
                  <pic:spPr>
                    <a:xfrm>
                      <a:off x="0" y="0"/>
                      <a:ext cx="3060000" cy="2558528"/>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4. Yedi öznitelik tabanlı sınıflandırıcının 5-katlı çapraz doğrulama ROC eğrileri. LightGBM AUC=0,9545 ile başı çekmekte; rastgele tahmin (AUC=0,500) referans olarak verilmiştir.</w:t>
      </w:r>
    </w:p>
    <w:p>
      <w:pPr>
        <w:spacing w:before="0" w:after="240"/>
        <w:jc w:val="center"/>
      </w:pPr>
      <w:r>
        <w:rPr>
          <w:rFonts w:ascii="Times New Roman" w:hAnsi="Times New Roman" w:cs="Times New Roman" w:eastAsia="Times New Roman"/>
          <w:b w:val="0"/>
          <w:i/>
          <w:color w:val="666666"/>
          <w:sz w:val="22"/>
        </w:rPr>
        <w:t>(ROC curves of the seven feature-based classifiers under 5-fold cross-validation. LightGBM leads with AUC=0.9545; random guessing (AUC=0.500) is shown as reference.)</w:t>
      </w:r>
    </w:p>
    <w:p>
      <w:pPr>
        <w:spacing w:before="200" w:after="40"/>
        <w:jc w:val="center"/>
        <w:keepNext/>
      </w:pPr>
      <w:r>
        <w:drawing>
          <wp:inline xmlns:a="http://schemas.openxmlformats.org/drawingml/2006/main" xmlns:pic="http://schemas.openxmlformats.org/drawingml/2006/picture">
            <wp:extent cx="2880000" cy="1725791"/>
            <wp:docPr id="5" name="Picture 5"/>
            <wp:cNvGraphicFramePr>
              <a:graphicFrameLocks noChangeAspect="1"/>
            </wp:cNvGraphicFramePr>
            <a:graphic>
              <a:graphicData uri="http://schemas.openxmlformats.org/drawingml/2006/picture">
                <pic:pic>
                  <pic:nvPicPr>
                    <pic:cNvPr id="0" name="all_models_heatmap.png"/>
                    <pic:cNvPicPr/>
                  </pic:nvPicPr>
                  <pic:blipFill>
                    <a:blip r:embed="rId13"/>
                    <a:stretch>
                      <a:fillRect/>
                    </a:stretch>
                  </pic:blipFill>
                  <pic:spPr>
                    <a:xfrm>
                      <a:off x="0" y="0"/>
                      <a:ext cx="2880000" cy="1725791"/>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5. On bir modelin doğruluk, kesinlik, duyarlılık, F1 ve ROC-AUC değerlerinin ısı haritası; her sütundaki en iyi değer kalın gösterilmiştir.</w:t>
      </w:r>
    </w:p>
    <w:p>
      <w:pPr>
        <w:spacing w:before="0" w:after="240"/>
        <w:jc w:val="center"/>
      </w:pPr>
      <w:r>
        <w:rPr>
          <w:rFonts w:ascii="Times New Roman" w:hAnsi="Times New Roman" w:cs="Times New Roman" w:eastAsia="Times New Roman"/>
          <w:b w:val="0"/>
          <w:i/>
          <w:color w:val="666666"/>
          <w:sz w:val="22"/>
        </w:rPr>
        <w:t>(Heatmap of accuracy, precision, recall, F1 and ROC-AUC across the eleven models; the best per column is shown in bold.)</w:t>
      </w:r>
    </w:p>
    <w:p>
      <w:pPr>
        <w:spacing w:before="200" w:after="120" w:line="240" w:lineRule="auto"/>
        <w:jc w:val="left"/>
        <w:keepNext/>
      </w:pPr>
      <w:r>
        <w:rPr>
          <w:rFonts w:ascii="Times New Roman" w:hAnsi="Times New Roman" w:cs="Times New Roman" w:eastAsia="Times New Roman"/>
          <w:b/>
          <w:i/>
          <w:color w:val="333333"/>
          <w:sz w:val="22"/>
        </w:rPr>
        <w:t>3.2. Makine Öğrenmesi ve Derin Öğrenme Karşılaştırması (ML versus DL Comparison)</w:t>
      </w:r>
    </w:p>
    <w:p>
      <w:pPr>
        <w:spacing w:line="240" w:lineRule="auto" w:before="160" w:after="240"/>
        <w:jc w:val="both"/>
      </w:pPr>
      <w:r>
        <w:rPr>
          <w:rFonts w:ascii="Times New Roman" w:hAnsi="Times New Roman" w:cs="Times New Roman" w:eastAsia="Times New Roman"/>
          <w:b w:val="0"/>
          <w:i w:val="0"/>
          <w:color w:val="333333"/>
          <w:sz w:val="22"/>
        </w:rPr>
        <w:t>Şekil 6, iki aileyi doğrudan karşılaştırmaktadır. Yedi makine öğrenmesi sınıflandırıcısı %92,75 ortalama ROC-AUC değerine ulaşırken, dört derin öğrenme mimarisi %92,32'de kalmaktadır; ancak bu fark esas olarak 1D-CNN'nin DL ortalamasını aşağı çekmesinden kaynaklanmaktadır. 1D-CNN dışlandığında, kalan üç DL mimarisi %94,62 ortalama elde etmekte ve Lojistik Regresyon dışlandığında ML ortalaması %94,02'ye yükselmektedir. Bu sonuç, 47 boyutlu öznitelik vektörünün ayırt edici bilginin büyük kısmını zaten kodladığını; öznitelik mühendisliğinin model kapasitesinden daha belirleyici bir etken olduğunu göstermektedir. Aynı öznitelik vektörünü giriş olarak alan derin modeller, bu öznitelikler içinde mevcut olmayan ayırt edici bilgiye erişememekte; bu bulgu Yi vd. [6] tarafından özetlenen ses derin sahte literatürüyle de tutarlıdır.</w:t>
      </w:r>
    </w:p>
    <w:p>
      <w:pPr>
        <w:spacing w:before="200" w:after="40"/>
        <w:jc w:val="center"/>
        <w:keepNext/>
      </w:pPr>
      <w:r>
        <w:drawing>
          <wp:inline xmlns:a="http://schemas.openxmlformats.org/drawingml/2006/main" xmlns:pic="http://schemas.openxmlformats.org/drawingml/2006/picture">
            <wp:extent cx="2880000" cy="1034410"/>
            <wp:docPr id="6" name="Picture 6"/>
            <wp:cNvGraphicFramePr>
              <a:graphicFrameLocks noChangeAspect="1"/>
            </wp:cNvGraphicFramePr>
            <a:graphic>
              <a:graphicData uri="http://schemas.openxmlformats.org/drawingml/2006/picture">
                <pic:pic>
                  <pic:nvPicPr>
                    <pic:cNvPr id="0" name="paper_ml_vs_dl.png"/>
                    <pic:cNvPicPr/>
                  </pic:nvPicPr>
                  <pic:blipFill>
                    <a:blip r:embed="rId14"/>
                    <a:stretch>
                      <a:fillRect/>
                    </a:stretch>
                  </pic:blipFill>
                  <pic:spPr>
                    <a:xfrm>
                      <a:off x="0" y="0"/>
                      <a:ext cx="2880000" cy="1034410"/>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6. Makine öğrenmesi (altın) ve derin öğrenme (koyu) mimarilerinin doğruluk, ROC-AUC ve F1 değerleri açısından toplam karşılaştırması.</w:t>
      </w:r>
    </w:p>
    <w:p>
      <w:pPr>
        <w:spacing w:before="0" w:after="240"/>
        <w:jc w:val="center"/>
      </w:pPr>
      <w:r>
        <w:rPr>
          <w:rFonts w:ascii="Times New Roman" w:hAnsi="Times New Roman" w:cs="Times New Roman" w:eastAsia="Times New Roman"/>
          <w:b w:val="0"/>
          <w:i/>
          <w:color w:val="666666"/>
          <w:sz w:val="22"/>
        </w:rPr>
        <w:t>(Aggregate comparison of machine learning (gold) and deep learning (dark) architectures across accuracy, ROC-AUC and F1.)</w:t>
      </w:r>
    </w:p>
    <w:p>
      <w:pPr>
        <w:spacing w:before="200" w:after="40"/>
        <w:jc w:val="center"/>
        <w:keepNext/>
      </w:pPr>
      <w:r>
        <w:drawing>
          <wp:inline xmlns:a="http://schemas.openxmlformats.org/drawingml/2006/main" xmlns:pic="http://schemas.openxmlformats.org/drawingml/2006/picture">
            <wp:extent cx="3060000" cy="798050"/>
            <wp:docPr id="7" name="Picture 7"/>
            <wp:cNvGraphicFramePr>
              <a:graphicFrameLocks noChangeAspect="1"/>
            </wp:cNvGraphicFramePr>
            <a:graphic>
              <a:graphicData uri="http://schemas.openxmlformats.org/drawingml/2006/picture">
                <pic:pic>
                  <pic:nvPicPr>
                    <pic:cNvPr id="0" name="training_history.png"/>
                    <pic:cNvPicPr/>
                  </pic:nvPicPr>
                  <pic:blipFill>
                    <a:blip r:embed="rId15"/>
                    <a:stretch>
                      <a:fillRect/>
                    </a:stretch>
                  </pic:blipFill>
                  <pic:spPr>
                    <a:xfrm>
                      <a:off x="0" y="0"/>
                      <a:ext cx="3060000" cy="798050"/>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7. Dört derin öğrenme mimarisi için epok bazlı eğitim eğrileri; her panel beş katın ortalaması ve ±σ bant ile birlikte gösterilmektedir.</w:t>
      </w:r>
    </w:p>
    <w:p>
      <w:pPr>
        <w:spacing w:before="0" w:after="240"/>
        <w:jc w:val="center"/>
      </w:pPr>
      <w:r>
        <w:rPr>
          <w:rFonts w:ascii="Times New Roman" w:hAnsi="Times New Roman" w:cs="Times New Roman" w:eastAsia="Times New Roman"/>
          <w:b w:val="0"/>
          <w:i/>
          <w:color w:val="666666"/>
          <w:sz w:val="22"/>
        </w:rPr>
        <w:t>(Per-epoch training curves for the four deep learning architectures, mean across five folds with ±σ band.)</w:t>
      </w:r>
    </w:p>
    <w:p>
      <w:pPr>
        <w:spacing w:before="200" w:after="120" w:line="240" w:lineRule="auto"/>
        <w:jc w:val="left"/>
        <w:keepNext/>
      </w:pPr>
      <w:r>
        <w:rPr>
          <w:rFonts w:ascii="Times New Roman" w:hAnsi="Times New Roman" w:cs="Times New Roman" w:eastAsia="Times New Roman"/>
          <w:b/>
          <w:i/>
          <w:color w:val="333333"/>
          <w:sz w:val="22"/>
        </w:rPr>
        <w:t>3.3. Katlar-Arası Kararlılık (Cross-Fold Stability)</w:t>
      </w:r>
    </w:p>
    <w:p>
      <w:pPr>
        <w:spacing w:line="240" w:lineRule="auto" w:before="160" w:after="240"/>
        <w:jc w:val="both"/>
      </w:pPr>
      <w:r>
        <w:rPr>
          <w:rFonts w:ascii="Times New Roman" w:hAnsi="Times New Roman" w:cs="Times New Roman" w:eastAsia="Times New Roman"/>
          <w:b w:val="0"/>
          <w:i w:val="0"/>
          <w:color w:val="333333"/>
          <w:sz w:val="22"/>
        </w:rPr>
        <w:t>Şekil 8, on bir modelin her bir kat için ROC-AUC değerlerini, ortalamasını ve standart sapmasını sunmaktadır. LightGBM, ±0,0023 standart sapmasıyla havuzdaki en kararlı modeldir; beş katı 0,9515 ile 0,9580 arasında dar bir aralıkta değişmektedir. XGBoost (±0,0029) ve Gradyan Artırma (±0,0038) onu izlemektedir. En değişken modeller 1D-CNN (±0,0087) ve SVM-RBF (±0,0075) olmuştur. Kararlılığa göre sıralama, ortalama AUC sıralamasını yakından izlemekte; en yüksek skoru veren modeller aynı zamanda en az değişken olanlar olmaktadır. Bu örüntü, konuşlandırılabilir bir tespit sistemi için arzu edilen karakteristiği yansıtmaktadır.</w:t>
      </w:r>
    </w:p>
    <w:p>
      <w:pPr>
        <w:spacing w:before="200" w:after="40"/>
        <w:jc w:val="center"/>
        <w:keepNext/>
      </w:pPr>
      <w:r>
        <w:drawing>
          <wp:inline xmlns:a="http://schemas.openxmlformats.org/drawingml/2006/main" xmlns:pic="http://schemas.openxmlformats.org/drawingml/2006/picture">
            <wp:extent cx="3060000" cy="1733537"/>
            <wp:docPr id="8" name="Picture 8"/>
            <wp:cNvGraphicFramePr>
              <a:graphicFrameLocks noChangeAspect="1"/>
            </wp:cNvGraphicFramePr>
            <a:graphic>
              <a:graphicData uri="http://schemas.openxmlformats.org/drawingml/2006/picture">
                <pic:pic>
                  <pic:nvPicPr>
                    <pic:cNvPr id="0" name="paper_fold_std_table.png"/>
                    <pic:cNvPicPr/>
                  </pic:nvPicPr>
                  <pic:blipFill>
                    <a:blip r:embed="rId16"/>
                    <a:stretch>
                      <a:fillRect/>
                    </a:stretch>
                  </pic:blipFill>
                  <pic:spPr>
                    <a:xfrm>
                      <a:off x="0" y="0"/>
                      <a:ext cx="3060000" cy="1733537"/>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8. On bir modelin her bir katı için ROC-AUC değerleri, ortalama AUC (azalan sırada) ve standart sapma. LightGBM hem en yüksek ortalamaya hem de en düşük katlar-arası varyansa sahiptir (±0,0023).</w:t>
      </w:r>
    </w:p>
    <w:p>
      <w:pPr>
        <w:spacing w:before="0" w:after="240"/>
        <w:jc w:val="center"/>
      </w:pPr>
      <w:r>
        <w:rPr>
          <w:rFonts w:ascii="Times New Roman" w:hAnsi="Times New Roman" w:cs="Times New Roman" w:eastAsia="Times New Roman"/>
          <w:b w:val="0"/>
          <w:i/>
          <w:color w:val="666666"/>
          <w:sz w:val="22"/>
        </w:rPr>
        <w:t>(Per-fold ROC-AUC for all eleven models, mean AUC (descending) and standard deviation. LightGBM combines the highest mean with the lowest fold-to-fold variance (±0.0023).)</w:t>
      </w:r>
    </w:p>
    <w:p>
      <w:pPr>
        <w:spacing w:before="200" w:after="120" w:line="240" w:lineRule="auto"/>
        <w:jc w:val="left"/>
        <w:keepNext/>
      </w:pPr>
      <w:r>
        <w:rPr>
          <w:rFonts w:ascii="Times New Roman" w:hAnsi="Times New Roman" w:cs="Times New Roman" w:eastAsia="Times New Roman"/>
          <w:b/>
          <w:i/>
          <w:color w:val="333333"/>
          <w:sz w:val="22"/>
        </w:rPr>
        <w:t>3.4. Öznitelik Önemi (Feature Importance)</w:t>
      </w:r>
    </w:p>
    <w:p>
      <w:pPr>
        <w:spacing w:line="240" w:lineRule="auto" w:before="160" w:after="240"/>
        <w:jc w:val="both"/>
      </w:pPr>
      <w:r>
        <w:rPr>
          <w:rFonts w:ascii="Times New Roman" w:hAnsi="Times New Roman" w:cs="Times New Roman" w:eastAsia="Times New Roman"/>
          <w:b w:val="0"/>
          <w:i w:val="0"/>
          <w:color w:val="333333"/>
          <w:sz w:val="22"/>
        </w:rPr>
        <w:t>Tablo 5, LightGBM modelinde normalleştirilmiş kazanca göre sıralanan ilk yirmi özniteliği listelemektedir. Spektral düzlük -hem kare başına standart sapma hem de ortalama olarak ölçülen- ilk beş içinde iki kez yer almakta, standart sapması belirgin bir farkla ilk sırayı oluşturmaktadır. Spektral kontrast ortalaması (sıra 2), RMS enerji (sıra 3) ve başlangıç gücü standart sapması (sıra 4) ilk grubu tamamlamaktadır. Vokal aile özniteliklerinin ilk yirmi içinde yalnızca breath_pattern_score (sıra 18) yer almaktadır; bu durum, vokal özniteliklerinin enstrümantal parçalarda anlamlı sinyal üretmemesi ile tutarlıdır. Şekil 9, ilk yirmi özniteliğin önem skorlarını çubuk grafik olarak; Şekil 10 ise TreeSHAP [11] tabanlı global etki dağılımını görselleştirmektedir.</w:t>
      </w:r>
    </w:p>
    <w:p>
      <w:pPr>
        <w:spacing w:before="200" w:after="40"/>
        <w:jc w:val="center"/>
        <w:keepNext/>
      </w:pPr>
      <w:r>
        <w:rPr>
          <w:rFonts w:ascii="Times New Roman" w:hAnsi="Times New Roman" w:cs="Times New Roman" w:eastAsia="Times New Roman"/>
          <w:b w:val="0"/>
          <w:i/>
          <w:color w:val="333333"/>
          <w:sz w:val="22"/>
        </w:rPr>
        <w:t>Tablo 5. LightGBM'in normalleştirilmiş kazanç önemine göre ilk on özniteliği</w:t>
      </w:r>
    </w:p>
    <w:p>
      <w:pPr>
        <w:spacing w:before="0" w:after="80"/>
        <w:jc w:val="center"/>
        <w:keepNext/>
      </w:pPr>
      <w:r>
        <w:rPr>
          <w:rFonts w:ascii="Times New Roman" w:hAnsi="Times New Roman" w:cs="Times New Roman" w:eastAsia="Times New Roman"/>
          <w:b w:val="0"/>
          <w:i/>
          <w:color w:val="666666"/>
          <w:sz w:val="22"/>
        </w:rPr>
        <w:t>(Top ten features ranked by LightGBM's normalised gain importance)</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C99347"/>
          </w:tcPr>
          <w:p>
            <w:pPr>
              <w:jc w:val="center"/>
            </w:pPr>
            <w:r/>
            <w:r>
              <w:rPr>
                <w:rFonts w:ascii="Times New Roman" w:hAnsi="Times New Roman" w:cs="Times New Roman" w:eastAsia="Times New Roman"/>
                <w:b/>
                <w:i w:val="0"/>
                <w:color w:val="FFFFFF"/>
                <w:sz w:val="20"/>
              </w:rPr>
              <w:t>Sıra</w:t>
            </w:r>
          </w:p>
        </w:tc>
        <w:tc>
          <w:tcPr>
            <w:tcW w:type="dxa" w:w="3402"/>
            <w:shd w:val="clear" w:color="auto" w:fill="C99347"/>
          </w:tcPr>
          <w:p>
            <w:pPr>
              <w:jc w:val="center"/>
            </w:pPr>
            <w:r/>
            <w:r>
              <w:rPr>
                <w:rFonts w:ascii="Times New Roman" w:hAnsi="Times New Roman" w:cs="Times New Roman" w:eastAsia="Times New Roman"/>
                <w:b/>
                <w:i w:val="0"/>
                <w:color w:val="FFFFFF"/>
                <w:sz w:val="20"/>
              </w:rPr>
              <w:t>Öznitelik</w:t>
            </w:r>
          </w:p>
        </w:tc>
        <w:tc>
          <w:tcPr>
            <w:tcW w:type="dxa" w:w="3402"/>
            <w:shd w:val="clear" w:color="auto" w:fill="C99347"/>
          </w:tcPr>
          <w:p>
            <w:pPr>
              <w:jc w:val="center"/>
            </w:pPr>
            <w:r/>
            <w:r>
              <w:rPr>
                <w:rFonts w:ascii="Times New Roman" w:hAnsi="Times New Roman" w:cs="Times New Roman" w:eastAsia="Times New Roman"/>
                <w:b/>
                <w:i w:val="0"/>
                <w:color w:val="FFFFFF"/>
                <w:sz w:val="20"/>
              </w:rPr>
              <w:t>Önem</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1</w:t>
            </w:r>
          </w:p>
        </w:tc>
        <w:tc>
          <w:tcPr>
            <w:tcW w:type="dxa" w:w="3402"/>
            <w:shd w:val="clear" w:color="auto" w:fill="FFFFFF"/>
          </w:tcPr>
          <w:p>
            <w:pPr>
              <w:jc w:val="center"/>
            </w:pPr>
            <w:r/>
            <w:r>
              <w:rPr>
                <w:rFonts w:ascii="Times New Roman" w:hAnsi="Times New Roman" w:cs="Times New Roman" w:eastAsia="Times New Roman"/>
                <w:b w:val="0"/>
                <w:i w:val="0"/>
                <w:color w:val="333333"/>
                <w:sz w:val="20"/>
              </w:rPr>
              <w:t>spectral_flatness_std</w:t>
            </w:r>
          </w:p>
        </w:tc>
        <w:tc>
          <w:tcPr>
            <w:tcW w:type="dxa" w:w="3402"/>
            <w:shd w:val="clear" w:color="auto" w:fill="FFFFFF"/>
          </w:tcPr>
          <w:p>
            <w:pPr>
              <w:jc w:val="center"/>
            </w:pPr>
            <w:r/>
            <w:r>
              <w:rPr>
                <w:rFonts w:ascii="Times New Roman" w:hAnsi="Times New Roman" w:cs="Times New Roman" w:eastAsia="Times New Roman"/>
                <w:b w:val="0"/>
                <w:i w:val="0"/>
                <w:color w:val="333333"/>
                <w:sz w:val="20"/>
              </w:rPr>
              <w:t>0,0619</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2</w:t>
            </w:r>
          </w:p>
        </w:tc>
        <w:tc>
          <w:tcPr>
            <w:tcW w:type="dxa" w:w="3402"/>
            <w:shd w:val="clear" w:color="auto" w:fill="F5F0E8"/>
          </w:tcPr>
          <w:p>
            <w:pPr>
              <w:jc w:val="center"/>
            </w:pPr>
            <w:r/>
            <w:r>
              <w:rPr>
                <w:rFonts w:ascii="Times New Roman" w:hAnsi="Times New Roman" w:cs="Times New Roman" w:eastAsia="Times New Roman"/>
                <w:b w:val="0"/>
                <w:i w:val="0"/>
                <w:color w:val="333333"/>
                <w:sz w:val="20"/>
              </w:rPr>
              <w:t>spectral_contrast_mean</w:t>
            </w:r>
          </w:p>
        </w:tc>
        <w:tc>
          <w:tcPr>
            <w:tcW w:type="dxa" w:w="3402"/>
            <w:shd w:val="clear" w:color="auto" w:fill="F5F0E8"/>
          </w:tcPr>
          <w:p>
            <w:pPr>
              <w:jc w:val="center"/>
            </w:pPr>
            <w:r/>
            <w:r>
              <w:rPr>
                <w:rFonts w:ascii="Times New Roman" w:hAnsi="Times New Roman" w:cs="Times New Roman" w:eastAsia="Times New Roman"/>
                <w:b w:val="0"/>
                <w:i w:val="0"/>
                <w:color w:val="333333"/>
                <w:sz w:val="20"/>
              </w:rPr>
              <w:t>0,0467</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3</w:t>
            </w:r>
          </w:p>
        </w:tc>
        <w:tc>
          <w:tcPr>
            <w:tcW w:type="dxa" w:w="3402"/>
            <w:shd w:val="clear" w:color="auto" w:fill="FFFFFF"/>
          </w:tcPr>
          <w:p>
            <w:pPr>
              <w:jc w:val="center"/>
            </w:pPr>
            <w:r/>
            <w:r>
              <w:rPr>
                <w:rFonts w:ascii="Times New Roman" w:hAnsi="Times New Roman" w:cs="Times New Roman" w:eastAsia="Times New Roman"/>
                <w:b w:val="0"/>
                <w:i w:val="0"/>
                <w:color w:val="333333"/>
                <w:sz w:val="20"/>
              </w:rPr>
              <w:t>rms_energy</w:t>
            </w:r>
          </w:p>
        </w:tc>
        <w:tc>
          <w:tcPr>
            <w:tcW w:type="dxa" w:w="3402"/>
            <w:shd w:val="clear" w:color="auto" w:fill="FFFFFF"/>
          </w:tcPr>
          <w:p>
            <w:pPr>
              <w:jc w:val="center"/>
            </w:pPr>
            <w:r/>
            <w:r>
              <w:rPr>
                <w:rFonts w:ascii="Times New Roman" w:hAnsi="Times New Roman" w:cs="Times New Roman" w:eastAsia="Times New Roman"/>
                <w:b w:val="0"/>
                <w:i w:val="0"/>
                <w:color w:val="333333"/>
                <w:sz w:val="20"/>
              </w:rPr>
              <w:t>0,0456</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4</w:t>
            </w:r>
          </w:p>
        </w:tc>
        <w:tc>
          <w:tcPr>
            <w:tcW w:type="dxa" w:w="3402"/>
            <w:shd w:val="clear" w:color="auto" w:fill="F5F0E8"/>
          </w:tcPr>
          <w:p>
            <w:pPr>
              <w:jc w:val="center"/>
            </w:pPr>
            <w:r/>
            <w:r>
              <w:rPr>
                <w:rFonts w:ascii="Times New Roman" w:hAnsi="Times New Roman" w:cs="Times New Roman" w:eastAsia="Times New Roman"/>
                <w:b w:val="0"/>
                <w:i w:val="0"/>
                <w:color w:val="333333"/>
                <w:sz w:val="20"/>
              </w:rPr>
              <w:t>onset_strength_std</w:t>
            </w:r>
          </w:p>
        </w:tc>
        <w:tc>
          <w:tcPr>
            <w:tcW w:type="dxa" w:w="3402"/>
            <w:shd w:val="clear" w:color="auto" w:fill="F5F0E8"/>
          </w:tcPr>
          <w:p>
            <w:pPr>
              <w:jc w:val="center"/>
            </w:pPr>
            <w:r/>
            <w:r>
              <w:rPr>
                <w:rFonts w:ascii="Times New Roman" w:hAnsi="Times New Roman" w:cs="Times New Roman" w:eastAsia="Times New Roman"/>
                <w:b w:val="0"/>
                <w:i w:val="0"/>
                <w:color w:val="333333"/>
                <w:sz w:val="20"/>
              </w:rPr>
              <w:t>0,0388</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5</w:t>
            </w:r>
          </w:p>
        </w:tc>
        <w:tc>
          <w:tcPr>
            <w:tcW w:type="dxa" w:w="3402"/>
            <w:shd w:val="clear" w:color="auto" w:fill="FFFFFF"/>
          </w:tcPr>
          <w:p>
            <w:pPr>
              <w:jc w:val="center"/>
            </w:pPr>
            <w:r/>
            <w:r>
              <w:rPr>
                <w:rFonts w:ascii="Times New Roman" w:hAnsi="Times New Roman" w:cs="Times New Roman" w:eastAsia="Times New Roman"/>
                <w:b w:val="0"/>
                <w:i w:val="0"/>
                <w:color w:val="333333"/>
                <w:sz w:val="20"/>
              </w:rPr>
              <w:t>spectral_flatness_mean</w:t>
            </w:r>
          </w:p>
        </w:tc>
        <w:tc>
          <w:tcPr>
            <w:tcW w:type="dxa" w:w="3402"/>
            <w:shd w:val="clear" w:color="auto" w:fill="FFFFFF"/>
          </w:tcPr>
          <w:p>
            <w:pPr>
              <w:jc w:val="center"/>
            </w:pPr>
            <w:r/>
            <w:r>
              <w:rPr>
                <w:rFonts w:ascii="Times New Roman" w:hAnsi="Times New Roman" w:cs="Times New Roman" w:eastAsia="Times New Roman"/>
                <w:b w:val="0"/>
                <w:i w:val="0"/>
                <w:color w:val="333333"/>
                <w:sz w:val="20"/>
              </w:rPr>
              <w:t>0,0370</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6</w:t>
            </w:r>
          </w:p>
        </w:tc>
        <w:tc>
          <w:tcPr>
            <w:tcW w:type="dxa" w:w="3402"/>
            <w:shd w:val="clear" w:color="auto" w:fill="F5F0E8"/>
          </w:tcPr>
          <w:p>
            <w:pPr>
              <w:jc w:val="center"/>
            </w:pPr>
            <w:r/>
            <w:r>
              <w:rPr>
                <w:rFonts w:ascii="Times New Roman" w:hAnsi="Times New Roman" w:cs="Times New Roman" w:eastAsia="Times New Roman"/>
                <w:b w:val="0"/>
                <w:i w:val="0"/>
                <w:color w:val="333333"/>
                <w:sz w:val="20"/>
              </w:rPr>
              <w:t>rms_dynamic_range</w:t>
            </w:r>
          </w:p>
        </w:tc>
        <w:tc>
          <w:tcPr>
            <w:tcW w:type="dxa" w:w="3402"/>
            <w:shd w:val="clear" w:color="auto" w:fill="F5F0E8"/>
          </w:tcPr>
          <w:p>
            <w:pPr>
              <w:jc w:val="center"/>
            </w:pPr>
            <w:r/>
            <w:r>
              <w:rPr>
                <w:rFonts w:ascii="Times New Roman" w:hAnsi="Times New Roman" w:cs="Times New Roman" w:eastAsia="Times New Roman"/>
                <w:b w:val="0"/>
                <w:i w:val="0"/>
                <w:color w:val="333333"/>
                <w:sz w:val="20"/>
              </w:rPr>
              <w:t>0,0346</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7</w:t>
            </w:r>
          </w:p>
        </w:tc>
        <w:tc>
          <w:tcPr>
            <w:tcW w:type="dxa" w:w="3402"/>
            <w:shd w:val="clear" w:color="auto" w:fill="FFFFFF"/>
          </w:tcPr>
          <w:p>
            <w:pPr>
              <w:jc w:val="center"/>
            </w:pPr>
            <w:r/>
            <w:r>
              <w:rPr>
                <w:rFonts w:ascii="Times New Roman" w:hAnsi="Times New Roman" w:cs="Times New Roman" w:eastAsia="Times New Roman"/>
                <w:b w:val="0"/>
                <w:i w:val="0"/>
                <w:color w:val="333333"/>
                <w:sz w:val="20"/>
              </w:rPr>
              <w:t>onset_strength_mean</w:t>
            </w:r>
          </w:p>
        </w:tc>
        <w:tc>
          <w:tcPr>
            <w:tcW w:type="dxa" w:w="3402"/>
            <w:shd w:val="clear" w:color="auto" w:fill="FFFFFF"/>
          </w:tcPr>
          <w:p>
            <w:pPr>
              <w:jc w:val="center"/>
            </w:pPr>
            <w:r/>
            <w:r>
              <w:rPr>
                <w:rFonts w:ascii="Times New Roman" w:hAnsi="Times New Roman" w:cs="Times New Roman" w:eastAsia="Times New Roman"/>
                <w:b w:val="0"/>
                <w:i w:val="0"/>
                <w:color w:val="333333"/>
                <w:sz w:val="20"/>
              </w:rPr>
              <w:t>0,0332</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8</w:t>
            </w:r>
          </w:p>
        </w:tc>
        <w:tc>
          <w:tcPr>
            <w:tcW w:type="dxa" w:w="3402"/>
            <w:shd w:val="clear" w:color="auto" w:fill="F5F0E8"/>
          </w:tcPr>
          <w:p>
            <w:pPr>
              <w:jc w:val="center"/>
            </w:pPr>
            <w:r/>
            <w:r>
              <w:rPr>
                <w:rFonts w:ascii="Times New Roman" w:hAnsi="Times New Roman" w:cs="Times New Roman" w:eastAsia="Times New Roman"/>
                <w:b w:val="0"/>
                <w:i w:val="0"/>
                <w:color w:val="333333"/>
                <w:sz w:val="20"/>
              </w:rPr>
              <w:t>rms_std</w:t>
            </w:r>
          </w:p>
        </w:tc>
        <w:tc>
          <w:tcPr>
            <w:tcW w:type="dxa" w:w="3402"/>
            <w:shd w:val="clear" w:color="auto" w:fill="F5F0E8"/>
          </w:tcPr>
          <w:p>
            <w:pPr>
              <w:jc w:val="center"/>
            </w:pPr>
            <w:r/>
            <w:r>
              <w:rPr>
                <w:rFonts w:ascii="Times New Roman" w:hAnsi="Times New Roman" w:cs="Times New Roman" w:eastAsia="Times New Roman"/>
                <w:b w:val="0"/>
                <w:i w:val="0"/>
                <w:color w:val="333333"/>
                <w:sz w:val="20"/>
              </w:rPr>
              <w:t>0,0298</w:t>
            </w:r>
          </w:p>
        </w:tc>
      </w:tr>
      <w:tr>
        <w:tc>
          <w:tcPr>
            <w:tcW w:type="dxa" w:w="3402"/>
            <w:shd w:val="clear" w:color="auto" w:fill="FFFFFF"/>
          </w:tcPr>
          <w:p>
            <w:pPr>
              <w:jc w:val="center"/>
            </w:pPr>
            <w:r/>
            <w:r>
              <w:rPr>
                <w:rFonts w:ascii="Times New Roman" w:hAnsi="Times New Roman" w:cs="Times New Roman" w:eastAsia="Times New Roman"/>
                <w:b w:val="0"/>
                <w:i w:val="0"/>
                <w:color w:val="333333"/>
                <w:sz w:val="20"/>
              </w:rPr>
              <w:t>9</w:t>
            </w:r>
          </w:p>
        </w:tc>
        <w:tc>
          <w:tcPr>
            <w:tcW w:type="dxa" w:w="3402"/>
            <w:shd w:val="clear" w:color="auto" w:fill="FFFFFF"/>
          </w:tcPr>
          <w:p>
            <w:pPr>
              <w:jc w:val="center"/>
            </w:pPr>
            <w:r/>
            <w:r>
              <w:rPr>
                <w:rFonts w:ascii="Times New Roman" w:hAnsi="Times New Roman" w:cs="Times New Roman" w:eastAsia="Times New Roman"/>
                <w:b w:val="0"/>
                <w:i w:val="0"/>
                <w:color w:val="333333"/>
                <w:sz w:val="20"/>
              </w:rPr>
              <w:t>beat_count</w:t>
            </w:r>
          </w:p>
        </w:tc>
        <w:tc>
          <w:tcPr>
            <w:tcW w:type="dxa" w:w="3402"/>
            <w:shd w:val="clear" w:color="auto" w:fill="FFFFFF"/>
          </w:tcPr>
          <w:p>
            <w:pPr>
              <w:jc w:val="center"/>
            </w:pPr>
            <w:r/>
            <w:r>
              <w:rPr>
                <w:rFonts w:ascii="Times New Roman" w:hAnsi="Times New Roman" w:cs="Times New Roman" w:eastAsia="Times New Roman"/>
                <w:b w:val="0"/>
                <w:i w:val="0"/>
                <w:color w:val="333333"/>
                <w:sz w:val="20"/>
              </w:rPr>
              <w:t>0,0298</w:t>
            </w:r>
          </w:p>
        </w:tc>
      </w:tr>
      <w:tr>
        <w:tc>
          <w:tcPr>
            <w:tcW w:type="dxa" w:w="3402"/>
            <w:shd w:val="clear" w:color="auto" w:fill="F5F0E8"/>
          </w:tcPr>
          <w:p>
            <w:pPr>
              <w:jc w:val="center"/>
            </w:pPr>
            <w:r/>
            <w:r>
              <w:rPr>
                <w:rFonts w:ascii="Times New Roman" w:hAnsi="Times New Roman" w:cs="Times New Roman" w:eastAsia="Times New Roman"/>
                <w:b w:val="0"/>
                <w:i w:val="0"/>
                <w:color w:val="333333"/>
                <w:sz w:val="20"/>
              </w:rPr>
              <w:t>10</w:t>
            </w:r>
          </w:p>
        </w:tc>
        <w:tc>
          <w:tcPr>
            <w:tcW w:type="dxa" w:w="3402"/>
            <w:shd w:val="clear" w:color="auto" w:fill="F5F0E8"/>
          </w:tcPr>
          <w:p>
            <w:pPr>
              <w:jc w:val="center"/>
            </w:pPr>
            <w:r/>
            <w:r>
              <w:rPr>
                <w:rFonts w:ascii="Times New Roman" w:hAnsi="Times New Roman" w:cs="Times New Roman" w:eastAsia="Times New Roman"/>
                <w:b w:val="0"/>
                <w:i w:val="0"/>
                <w:color w:val="333333"/>
                <w:sz w:val="20"/>
              </w:rPr>
              <w:t>mfcc_delta_var</w:t>
            </w:r>
          </w:p>
        </w:tc>
        <w:tc>
          <w:tcPr>
            <w:tcW w:type="dxa" w:w="3402"/>
            <w:shd w:val="clear" w:color="auto" w:fill="F5F0E8"/>
          </w:tcPr>
          <w:p>
            <w:pPr>
              <w:jc w:val="center"/>
            </w:pPr>
            <w:r/>
            <w:r>
              <w:rPr>
                <w:rFonts w:ascii="Times New Roman" w:hAnsi="Times New Roman" w:cs="Times New Roman" w:eastAsia="Times New Roman"/>
                <w:b w:val="0"/>
                <w:i w:val="0"/>
                <w:color w:val="333333"/>
                <w:sz w:val="20"/>
              </w:rPr>
              <w:t>0,0289</w:t>
            </w:r>
          </w:p>
        </w:tc>
      </w:tr>
    </w:tbl>
    <w:p>
      <w:pPr>
        <w:spacing w:after="240"/>
      </w:pPr>
    </w:p>
    <w:p>
      <w:pPr>
        <w:spacing w:before="200" w:after="40"/>
        <w:jc w:val="center"/>
        <w:keepNext/>
      </w:pPr>
      <w:r>
        <w:drawing>
          <wp:inline xmlns:a="http://schemas.openxmlformats.org/drawingml/2006/main" xmlns:pic="http://schemas.openxmlformats.org/drawingml/2006/picture">
            <wp:extent cx="2880000" cy="2296970"/>
            <wp:docPr id="9" name="Picture 9"/>
            <wp:cNvGraphicFramePr>
              <a:graphicFrameLocks noChangeAspect="1"/>
            </wp:cNvGraphicFramePr>
            <a:graphic>
              <a:graphicData uri="http://schemas.openxmlformats.org/drawingml/2006/picture">
                <pic:pic>
                  <pic:nvPicPr>
                    <pic:cNvPr id="0" name="paper_feature_importance.png"/>
                    <pic:cNvPicPr/>
                  </pic:nvPicPr>
                  <pic:blipFill>
                    <a:blip r:embed="rId17"/>
                    <a:stretch>
                      <a:fillRect/>
                    </a:stretch>
                  </pic:blipFill>
                  <pic:spPr>
                    <a:xfrm>
                      <a:off x="0" y="0"/>
                      <a:ext cx="2880000" cy="2296970"/>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9. LightGBM modelinde ilk yirmi özniteliğin normalleştirilmiş önem skorları. Spektral düzlük standart sapması açık bir farkla ilk sırada.</w:t>
      </w:r>
    </w:p>
    <w:p>
      <w:pPr>
        <w:spacing w:before="0" w:after="240"/>
        <w:jc w:val="center"/>
      </w:pPr>
      <w:r>
        <w:rPr>
          <w:rFonts w:ascii="Times New Roman" w:hAnsi="Times New Roman" w:cs="Times New Roman" w:eastAsia="Times New Roman"/>
          <w:b w:val="0"/>
          <w:i/>
          <w:color w:val="666666"/>
          <w:sz w:val="22"/>
        </w:rPr>
        <w:t>(Top-twenty feature importances in LightGBM (normalised). spectral_flatness_std leads by a clear margin.)</w:t>
      </w:r>
    </w:p>
    <w:p>
      <w:pPr>
        <w:spacing w:before="200" w:after="40"/>
        <w:jc w:val="center"/>
        <w:keepNext/>
      </w:pPr>
      <w:r>
        <w:drawing>
          <wp:inline xmlns:a="http://schemas.openxmlformats.org/drawingml/2006/main" xmlns:pic="http://schemas.openxmlformats.org/drawingml/2006/picture">
            <wp:extent cx="3060000" cy="3242127"/>
            <wp:docPr id="10" name="Picture 10"/>
            <wp:cNvGraphicFramePr>
              <a:graphicFrameLocks noChangeAspect="1"/>
            </wp:cNvGraphicFramePr>
            <a:graphic>
              <a:graphicData uri="http://schemas.openxmlformats.org/drawingml/2006/picture">
                <pic:pic>
                  <pic:nvPicPr>
                    <pic:cNvPr id="0" name="shap_summary.png"/>
                    <pic:cNvPicPr/>
                  </pic:nvPicPr>
                  <pic:blipFill>
                    <a:blip r:embed="rId18"/>
                    <a:stretch>
                      <a:fillRect/>
                    </a:stretch>
                  </pic:blipFill>
                  <pic:spPr>
                    <a:xfrm>
                      <a:off x="0" y="0"/>
                      <a:ext cx="3060000" cy="3242127"/>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10. 2.000 örneklik bir CV diliminde LightGBM için TreeSHAP global etki diyagramı; her nokta tek bir örneği, yatay konum SHAP değerini, renk ise öznitelik büyüklüğünü kodlamaktadır.</w:t>
      </w:r>
    </w:p>
    <w:p>
      <w:pPr>
        <w:spacing w:before="0" w:after="240"/>
        <w:jc w:val="center"/>
      </w:pPr>
      <w:r>
        <w:rPr>
          <w:rFonts w:ascii="Times New Roman" w:hAnsi="Times New Roman" w:cs="Times New Roman" w:eastAsia="Times New Roman"/>
          <w:b w:val="0"/>
          <w:i/>
          <w:color w:val="666666"/>
          <w:sz w:val="22"/>
        </w:rPr>
        <w:t>(TreeSHAP global effect plot for LightGBM on a 2,000-sample CV slice; each point is one sample, horizontal position is the SHAP value, colour encodes feature magnitude.)</w:t>
      </w:r>
    </w:p>
    <w:p>
      <w:pPr>
        <w:spacing w:before="200" w:after="120" w:line="240" w:lineRule="auto"/>
        <w:jc w:val="left"/>
        <w:keepNext/>
      </w:pPr>
      <w:r>
        <w:rPr>
          <w:rFonts w:ascii="Times New Roman" w:hAnsi="Times New Roman" w:cs="Times New Roman" w:eastAsia="Times New Roman"/>
          <w:b/>
          <w:i/>
          <w:color w:val="333333"/>
          <w:sz w:val="22"/>
        </w:rPr>
        <w:t>3.5. Karmaşıklık Matrisi, Skor Dağılımı ve Kalibrasyon (Confusion Matrix, Score Distribution and Calibration)</w:t>
      </w:r>
    </w:p>
    <w:p>
      <w:pPr>
        <w:spacing w:line="240" w:lineRule="auto" w:before="160" w:after="240"/>
        <w:jc w:val="both"/>
      </w:pPr>
      <w:r>
        <w:rPr>
          <w:rFonts w:ascii="Times New Roman" w:hAnsi="Times New Roman" w:cs="Times New Roman" w:eastAsia="Times New Roman"/>
          <w:b w:val="0"/>
          <w:i w:val="0"/>
          <w:color w:val="333333"/>
          <w:sz w:val="22"/>
        </w:rPr>
        <w:t>Şekil 11, LightGBM'in 5-katlı doğrulama tahminlerinin Youden-optimal eşik θ* = 0,4316 ile eşiklendiği durumda elde edilen karmaşıklık matrisini göstermektedir. Matris şu değerleri raporlamaktadır: 2.721 doğru negatif (insan örneklerinin %87,4'ü), 1.862 doğru pozitif (yapay zekâ örneklerinin %89,4'ü), 392 yanlış pozitif (insan örneklerinin %12,6'sı yapay zekâ olarak atanmış) ve 220 yanlış negatif (yapay zekâ örneklerinin %10,6'sı insan olarak atanmış). Yapay zekâ sınıfı için duyarlılık (%89,4) insan örnekleri için özgüllük (%87,4) ile esasen dengelidir; küçük asimetri Youden ölçütünden kaynaklanmaktadır.</w:t>
      </w:r>
    </w:p>
    <w:p>
      <w:pPr>
        <w:spacing w:before="200" w:after="40"/>
        <w:jc w:val="center"/>
        <w:keepNext/>
      </w:pPr>
      <w:r>
        <w:drawing>
          <wp:inline xmlns:a="http://schemas.openxmlformats.org/drawingml/2006/main" xmlns:pic="http://schemas.openxmlformats.org/drawingml/2006/picture">
            <wp:extent cx="3060000" cy="2696274"/>
            <wp:docPr id="11" name="Picture 11"/>
            <wp:cNvGraphicFramePr>
              <a:graphicFrameLocks noChangeAspect="1"/>
            </wp:cNvGraphicFramePr>
            <a:graphic>
              <a:graphicData uri="http://schemas.openxmlformats.org/drawingml/2006/picture">
                <pic:pic>
                  <pic:nvPicPr>
                    <pic:cNvPr id="0" name="paper_confusion_matrix_lightgbm.png"/>
                    <pic:cNvPicPr/>
                  </pic:nvPicPr>
                  <pic:blipFill>
                    <a:blip r:embed="rId19"/>
                    <a:stretch>
                      <a:fillRect/>
                    </a:stretch>
                  </pic:blipFill>
                  <pic:spPr>
                    <a:xfrm>
                      <a:off x="0" y="0"/>
                      <a:ext cx="3060000" cy="2696274"/>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11. LightGBM için Youden-optimal eşik θ* = 0,4316 altında karmaşıklık matrisi. Hücreler örnek sayıları ve ilgili sınıf-içi yüzdeleri göstermektedir.</w:t>
      </w:r>
    </w:p>
    <w:p>
      <w:pPr>
        <w:spacing w:before="0" w:after="240"/>
        <w:jc w:val="center"/>
      </w:pPr>
      <w:r>
        <w:rPr>
          <w:rFonts w:ascii="Times New Roman" w:hAnsi="Times New Roman" w:cs="Times New Roman" w:eastAsia="Times New Roman"/>
          <w:b w:val="0"/>
          <w:i/>
          <w:color w:val="666666"/>
          <w:sz w:val="22"/>
        </w:rPr>
        <w:t>(Confusion matrix for LightGBM at the Youden-optimal threshold θ* = 0.4316. Cells show sample counts and corresponding within-class percentages.)</w:t>
      </w:r>
    </w:p>
    <w:p>
      <w:pPr>
        <w:spacing w:line="240" w:lineRule="auto" w:before="160" w:after="240"/>
        <w:jc w:val="both"/>
      </w:pPr>
      <w:r>
        <w:rPr>
          <w:rFonts w:ascii="Times New Roman" w:hAnsi="Times New Roman" w:cs="Times New Roman" w:eastAsia="Times New Roman"/>
          <w:b w:val="0"/>
          <w:i w:val="0"/>
          <w:color w:val="333333"/>
          <w:sz w:val="22"/>
        </w:rPr>
        <w:t>Şekil 12, insan ve yapay zekâ sınıfları için P(AI) tahmini olasılık dağılımlarını ayrı ayrı çizmektedir. İki dağılım iyi ayrılmıştır; örtüşme yalnızca 0,4-0,6 merkezi bölgede önemli ölçüde mevcuttur. Kesik çizgi Youden-optimal eşiği işaretlemektedir; eşiğin simetrik 0,5 değerinin solunda konumlanması sınıf dengesizliği (yapay zekâ : insan ≈ 1 : 1,5) ile J(θ) maksimizasyonunun birleşik etkisini yansıtmaktadır. Şekil 13, kalibrasyon eğrisini sunmaktadır. Eğri olasılık aralığı boyunca köşegene yakın seyretmekte ve Brier skoru 0,083 olarak ölçülmektedir; bu değer, üretilen olasılıkların gerçek arka olasılığın güvenilir tahminleri olduğunu doğrulamaktadır.</w:t>
      </w:r>
    </w:p>
    <w:p>
      <w:pPr>
        <w:spacing w:before="200" w:after="40"/>
        <w:jc w:val="center"/>
        <w:keepNext/>
      </w:pPr>
      <w:r>
        <w:drawing>
          <wp:inline xmlns:a="http://schemas.openxmlformats.org/drawingml/2006/main" xmlns:pic="http://schemas.openxmlformats.org/drawingml/2006/picture">
            <wp:extent cx="2880000" cy="1841037"/>
            <wp:docPr id="12" name="Picture 12"/>
            <wp:cNvGraphicFramePr>
              <a:graphicFrameLocks noChangeAspect="1"/>
            </wp:cNvGraphicFramePr>
            <a:graphic>
              <a:graphicData uri="http://schemas.openxmlformats.org/drawingml/2006/picture">
                <pic:pic>
                  <pic:nvPicPr>
                    <pic:cNvPr id="0" name="paper_score_distribution.png"/>
                    <pic:cNvPicPr/>
                  </pic:nvPicPr>
                  <pic:blipFill>
                    <a:blip r:embed="rId20"/>
                    <a:stretch>
                      <a:fillRect/>
                    </a:stretch>
                  </pic:blipFill>
                  <pic:spPr>
                    <a:xfrm>
                      <a:off x="0" y="0"/>
                      <a:ext cx="2880000" cy="1841037"/>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12. İnsan (yeşil) ve yapay zekâ (kırmızı) örnekleri için P(AI) tahmin olasılık dağılımları. Kesik çizgi Youden-optimal karar eşiği θ* = 0,4316.</w:t>
      </w:r>
    </w:p>
    <w:p>
      <w:pPr>
        <w:spacing w:before="0" w:after="240"/>
        <w:jc w:val="center"/>
      </w:pPr>
      <w:r>
        <w:rPr>
          <w:rFonts w:ascii="Times New Roman" w:hAnsi="Times New Roman" w:cs="Times New Roman" w:eastAsia="Times New Roman"/>
          <w:b w:val="0"/>
          <w:i/>
          <w:color w:val="666666"/>
          <w:sz w:val="22"/>
        </w:rPr>
        <w:t>(Predicted-probability distributions of P(AI) for human (green) and AI (red) samples. Dashed line marks the Youden-optimal decision threshold θ* = 0.4316.)</w:t>
      </w:r>
    </w:p>
    <w:p>
      <w:pPr>
        <w:spacing w:before="200" w:after="40"/>
        <w:jc w:val="center"/>
        <w:keepNext/>
      </w:pPr>
      <w:r>
        <w:drawing>
          <wp:inline xmlns:a="http://schemas.openxmlformats.org/drawingml/2006/main" xmlns:pic="http://schemas.openxmlformats.org/drawingml/2006/picture">
            <wp:extent cx="3060000" cy="2907812"/>
            <wp:docPr id="13" name="Picture 13"/>
            <wp:cNvGraphicFramePr>
              <a:graphicFrameLocks noChangeAspect="1"/>
            </wp:cNvGraphicFramePr>
            <a:graphic>
              <a:graphicData uri="http://schemas.openxmlformats.org/drawingml/2006/picture">
                <pic:pic>
                  <pic:nvPicPr>
                    <pic:cNvPr id="0" name="paper_calibration.png"/>
                    <pic:cNvPicPr/>
                  </pic:nvPicPr>
                  <pic:blipFill>
                    <a:blip r:embed="rId21"/>
                    <a:stretch>
                      <a:fillRect/>
                    </a:stretch>
                  </pic:blipFill>
                  <pic:spPr>
                    <a:xfrm>
                      <a:off x="0" y="0"/>
                      <a:ext cx="3060000" cy="2907812"/>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13. LightGBM için kalibrasyon eğrisi. Köşegen ideal kalibrasyona karşılık gelir; Brier skoru = 0,083.</w:t>
      </w:r>
    </w:p>
    <w:p>
      <w:pPr>
        <w:spacing w:before="0" w:after="240"/>
        <w:jc w:val="center"/>
      </w:pPr>
      <w:r>
        <w:rPr>
          <w:rFonts w:ascii="Times New Roman" w:hAnsi="Times New Roman" w:cs="Times New Roman" w:eastAsia="Times New Roman"/>
          <w:b w:val="0"/>
          <w:i/>
          <w:color w:val="666666"/>
          <w:sz w:val="22"/>
        </w:rPr>
        <w:t>(Calibration curve for LightGBM. Diagonal corresponds to perfect calibration; Brier score = 0.083.)</w:t>
      </w:r>
    </w:p>
    <w:p>
      <w:pPr>
        <w:spacing w:before="200" w:after="40"/>
        <w:jc w:val="center"/>
        <w:keepNext/>
      </w:pPr>
      <w:r>
        <w:drawing>
          <wp:inline xmlns:a="http://schemas.openxmlformats.org/drawingml/2006/main" xmlns:pic="http://schemas.openxmlformats.org/drawingml/2006/picture">
            <wp:extent cx="3060000" cy="2907812"/>
            <wp:docPr id="14" name="Picture 14"/>
            <wp:cNvGraphicFramePr>
              <a:graphicFrameLocks noChangeAspect="1"/>
            </wp:cNvGraphicFramePr>
            <a:graphic>
              <a:graphicData uri="http://schemas.openxmlformats.org/drawingml/2006/picture">
                <pic:pic>
                  <pic:nvPicPr>
                    <pic:cNvPr id="0" name="paper_precision_recall.png"/>
                    <pic:cNvPicPr/>
                  </pic:nvPicPr>
                  <pic:blipFill>
                    <a:blip r:embed="rId22"/>
                    <a:stretch>
                      <a:fillRect/>
                    </a:stretch>
                  </pic:blipFill>
                  <pic:spPr>
                    <a:xfrm>
                      <a:off x="0" y="0"/>
                      <a:ext cx="3060000" cy="2907812"/>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14. LightGBM için kesinlik-duyarlılık eğrisi; ortalama kesinlik 0,934 olarak ölçülmüştür ve sınıf oranı 1:1,5 için ima edilen 0,401 baz çizgisinin çok üstündedir.</w:t>
      </w:r>
    </w:p>
    <w:p>
      <w:pPr>
        <w:spacing w:before="0" w:after="240"/>
        <w:jc w:val="center"/>
      </w:pPr>
      <w:r>
        <w:rPr>
          <w:rFonts w:ascii="Times New Roman" w:hAnsi="Times New Roman" w:cs="Times New Roman" w:eastAsia="Times New Roman"/>
          <w:b w:val="0"/>
          <w:i/>
          <w:color w:val="666666"/>
          <w:sz w:val="22"/>
        </w:rPr>
        <w:t>(Precision-recall curve for LightGBM; average precision is 0.934, well above the no-skill baseline of 0.401 implied by the 1:1.5 class ratio.)</w:t>
      </w:r>
    </w:p>
    <w:p>
      <w:pPr>
        <w:spacing w:before="200" w:after="120" w:line="240" w:lineRule="auto"/>
        <w:jc w:val="left"/>
        <w:keepNext/>
      </w:pPr>
      <w:r>
        <w:rPr>
          <w:rFonts w:ascii="Times New Roman" w:hAnsi="Times New Roman" w:cs="Times New Roman" w:eastAsia="Times New Roman"/>
          <w:b/>
          <w:i/>
          <w:color w:val="333333"/>
          <w:sz w:val="22"/>
        </w:rPr>
        <w:t>3.6. Eşik Taraması ve Karar Çalışma Noktaları (Threshold Sweep and Decision Operating Points)</w:t>
      </w:r>
    </w:p>
    <w:p>
      <w:pPr>
        <w:spacing w:line="240" w:lineRule="auto" w:before="160" w:after="240"/>
        <w:jc w:val="both"/>
      </w:pPr>
      <w:r>
        <w:rPr>
          <w:rFonts w:ascii="Times New Roman" w:hAnsi="Times New Roman" w:cs="Times New Roman" w:eastAsia="Times New Roman"/>
          <w:b w:val="0"/>
          <w:i w:val="0"/>
          <w:color w:val="333333"/>
          <w:sz w:val="22"/>
        </w:rPr>
        <w:t>Şekil 15, kesinlik, duyarlılık, F1 ve doğruluğun karar eşiğine göre nasıl değiştiğini göstermektedir. F1 skoru 0,40-0,50 aralığında bir plato oluşturmakta; Youden-optimal eşik bu platonun sol kenarında konumlanmaktadır. Bu örüntü, farklı çalıştırma maliyetlerine sahip kullanıcıların eğri üzerinde güvenle hareket edebileceğini göstermektedir.</w:t>
      </w:r>
    </w:p>
    <w:p>
      <w:pPr>
        <w:spacing w:before="200" w:after="40"/>
        <w:jc w:val="center"/>
        <w:keepNext/>
      </w:pPr>
      <w:r>
        <w:drawing>
          <wp:inline xmlns:a="http://schemas.openxmlformats.org/drawingml/2006/main" xmlns:pic="http://schemas.openxmlformats.org/drawingml/2006/picture">
            <wp:extent cx="2880000" cy="2018350"/>
            <wp:docPr id="15" name="Picture 15"/>
            <wp:cNvGraphicFramePr>
              <a:graphicFrameLocks noChangeAspect="1"/>
            </wp:cNvGraphicFramePr>
            <a:graphic>
              <a:graphicData uri="http://schemas.openxmlformats.org/drawingml/2006/picture">
                <pic:pic>
                  <pic:nvPicPr>
                    <pic:cNvPr id="0" name="threshold_sweep.png"/>
                    <pic:cNvPicPr/>
                  </pic:nvPicPr>
                  <pic:blipFill>
                    <a:blip r:embed="rId23"/>
                    <a:stretch>
                      <a:fillRect/>
                    </a:stretch>
                  </pic:blipFill>
                  <pic:spPr>
                    <a:xfrm>
                      <a:off x="0" y="0"/>
                      <a:ext cx="2880000" cy="2018350"/>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15. LightGBM için karar eşiğine karşı kesinlik, duyarlılık ve F1 taraması. Youden-J optimumu θ* = 0,4316 kesik çizgi ile işaretlenmiştir.</w:t>
      </w:r>
    </w:p>
    <w:p>
      <w:pPr>
        <w:spacing w:before="0" w:after="240"/>
        <w:jc w:val="center"/>
      </w:pPr>
      <w:r>
        <w:rPr>
          <w:rFonts w:ascii="Times New Roman" w:hAnsi="Times New Roman" w:cs="Times New Roman" w:eastAsia="Times New Roman"/>
          <w:b w:val="0"/>
          <w:i/>
          <w:color w:val="666666"/>
          <w:sz w:val="22"/>
        </w:rPr>
        <w:t>(Threshold sweep of precision, recall and F1 versus decision threshold for LightGBM. Youden-J optimum θ* = 0.4316 is marked with the dashed line.)</w:t>
      </w:r>
    </w:p>
    <w:p>
      <w:pPr>
        <w:spacing w:before="200" w:after="120" w:line="240" w:lineRule="auto"/>
        <w:jc w:val="left"/>
        <w:keepNext/>
      </w:pPr>
      <w:r>
        <w:rPr>
          <w:rFonts w:ascii="Times New Roman" w:hAnsi="Times New Roman" w:cs="Times New Roman" w:eastAsia="Times New Roman"/>
          <w:b/>
          <w:i/>
          <w:color w:val="333333"/>
          <w:sz w:val="22"/>
        </w:rPr>
        <w:t>3.7. Üretici Bazlı Performans (Per-Generator Performance)</w:t>
      </w:r>
    </w:p>
    <w:p>
      <w:pPr>
        <w:spacing w:line="240" w:lineRule="auto" w:before="160" w:after="240"/>
        <w:jc w:val="both"/>
      </w:pPr>
      <w:r>
        <w:rPr>
          <w:rFonts w:ascii="Times New Roman" w:hAnsi="Times New Roman" w:cs="Times New Roman" w:eastAsia="Times New Roman"/>
          <w:b w:val="0"/>
          <w:i w:val="0"/>
          <w:color w:val="333333"/>
          <w:sz w:val="22"/>
        </w:rPr>
        <w:t>Veri kümesi 12'den fazla üretici sistemden örnek içerdiğinden, üretici bazlı performans toplam metriklerin ötesinde bilgilendiricidir. Şekil 16, LightGBM'in kaynak bazlı performansını sunmaktadır. Suno parçaları %93,0 duyarlılık (500'de 465) ile, Echoes %88,6 (1.128'de 999) ile kurtarılmaktadır. AImE alt kümesi (n=204) %79,9'a düşmektedir. Deepfake seti ise tam olarak %50,0'da kalmakta; yani bu parçaların yarısı tespit edilememektedir. İnsan tarafında, GTZAN (%93,2) ve FMA (%88,9) güvenilir biçimde tanınırken SleepyJesse kapak seti (n=854) %76,3'e düşmektedir. İki başarısızlık noktası -deepfake alt kümesi ve SleepyJesse kapakları- aynı yöne işaret etmektedir: akustik profili kendi sınıf etiketinin geri kalanından sistematik olarak farklı olan parçalar modeli zorlamaktadır. Bu durum Li vd. [5] tarafından vurgulanan üretici-modeller arası genelleme zorluğu ile tutarlıdır.</w:t>
      </w:r>
    </w:p>
    <w:p>
      <w:pPr>
        <w:spacing w:before="200" w:after="40"/>
        <w:jc w:val="center"/>
        <w:keepNext/>
      </w:pPr>
      <w:r>
        <w:drawing>
          <wp:inline xmlns:a="http://schemas.openxmlformats.org/drawingml/2006/main" xmlns:pic="http://schemas.openxmlformats.org/drawingml/2006/picture">
            <wp:extent cx="2880000" cy="1457688"/>
            <wp:docPr id="16" name="Picture 16"/>
            <wp:cNvGraphicFramePr>
              <a:graphicFrameLocks noChangeAspect="1"/>
            </wp:cNvGraphicFramePr>
            <a:graphic>
              <a:graphicData uri="http://schemas.openxmlformats.org/drawingml/2006/picture">
                <pic:pic>
                  <pic:nvPicPr>
                    <pic:cNvPr id="0" name="per_source_performance.png"/>
                    <pic:cNvPicPr/>
                  </pic:nvPicPr>
                  <pic:blipFill>
                    <a:blip r:embed="rId24"/>
                    <a:stretch>
                      <a:fillRect/>
                    </a:stretch>
                  </pic:blipFill>
                  <pic:spPr>
                    <a:xfrm>
                      <a:off x="0" y="0"/>
                      <a:ext cx="2880000" cy="1457688"/>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16. LightGBM'in 5-katlı çapraz doğrulama tahminleri üzerinde θ* = 0,4316 ile kaynak bazlı performansı. Yapay zekâ kaynakları (kırmızı) AI sınıfı duyarlılığı ile, insan kaynakları (yeşil) özgüllük ile değerlendirilmiştir.</w:t>
      </w:r>
    </w:p>
    <w:p>
      <w:pPr>
        <w:spacing w:before="0" w:after="240"/>
        <w:jc w:val="center"/>
      </w:pPr>
      <w:r>
        <w:rPr>
          <w:rFonts w:ascii="Times New Roman" w:hAnsi="Times New Roman" w:cs="Times New Roman" w:eastAsia="Times New Roman"/>
          <w:b w:val="0"/>
          <w:i/>
          <w:color w:val="666666"/>
          <w:sz w:val="22"/>
        </w:rPr>
        <w:t>(Per-source LightGBM performance on 5-fold CV predictions at θ* = 0.4316. AI sources (red) evaluated by AI-class recall; human sources (green) by specificity.)</w:t>
      </w:r>
    </w:p>
    <w:p>
      <w:pPr>
        <w:spacing w:before="200" w:after="40"/>
        <w:jc w:val="center"/>
        <w:keepNext/>
      </w:pPr>
      <w:r>
        <w:drawing>
          <wp:inline xmlns:a="http://schemas.openxmlformats.org/drawingml/2006/main" xmlns:pic="http://schemas.openxmlformats.org/drawingml/2006/picture">
            <wp:extent cx="2880000" cy="1998338"/>
            <wp:docPr id="17" name="Picture 17"/>
            <wp:cNvGraphicFramePr>
              <a:graphicFrameLocks noChangeAspect="1"/>
            </wp:cNvGraphicFramePr>
            <a:graphic>
              <a:graphicData uri="http://schemas.openxmlformats.org/drawingml/2006/picture">
                <pic:pic>
                  <pic:nvPicPr>
                    <pic:cNvPr id="0" name="per_class_metrics.png"/>
                    <pic:cNvPicPr/>
                  </pic:nvPicPr>
                  <pic:blipFill>
                    <a:blip r:embed="rId25"/>
                    <a:stretch>
                      <a:fillRect/>
                    </a:stretch>
                  </pic:blipFill>
                  <pic:spPr>
                    <a:xfrm>
                      <a:off x="0" y="0"/>
                      <a:ext cx="2880000" cy="1998338"/>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17. LightGBM için sınıf bazlı kesinlik, duyarlılık ve F1 değerleri.</w:t>
      </w:r>
    </w:p>
    <w:p>
      <w:pPr>
        <w:spacing w:before="0" w:after="240"/>
        <w:jc w:val="center"/>
      </w:pPr>
      <w:r>
        <w:rPr>
          <w:rFonts w:ascii="Times New Roman" w:hAnsi="Times New Roman" w:cs="Times New Roman" w:eastAsia="Times New Roman"/>
          <w:b w:val="0"/>
          <w:i/>
          <w:color w:val="666666"/>
          <w:sz w:val="22"/>
        </w:rPr>
        <w:t>(Per-class precision, recall and F1 for LightGBM.)</w:t>
      </w:r>
    </w:p>
    <w:p>
      <w:pPr>
        <w:spacing w:before="200" w:after="120" w:line="240" w:lineRule="auto"/>
        <w:jc w:val="left"/>
        <w:keepNext/>
      </w:pPr>
      <w:r>
        <w:rPr>
          <w:rFonts w:ascii="Times New Roman" w:hAnsi="Times New Roman" w:cs="Times New Roman" w:eastAsia="Times New Roman"/>
          <w:b/>
          <w:i/>
          <w:color w:val="333333"/>
          <w:sz w:val="22"/>
        </w:rPr>
        <w:t>3.8. Spektral Düzlüğün Baskınlığı Neden? (Why Spectral Flatness Dominates)</w:t>
      </w:r>
    </w:p>
    <w:p>
      <w:pPr>
        <w:spacing w:line="240" w:lineRule="auto" w:before="160" w:after="240"/>
        <w:jc w:val="both"/>
      </w:pPr>
      <w:r>
        <w:rPr>
          <w:rFonts w:ascii="Times New Roman" w:hAnsi="Times New Roman" w:cs="Times New Roman" w:eastAsia="Times New Roman"/>
          <w:b w:val="0"/>
          <w:i w:val="0"/>
          <w:color w:val="333333"/>
          <w:sz w:val="22"/>
        </w:rPr>
        <w:t>Spektral düzlüğün öznitelik önem sıralamasındaki baskınlığı, daha geniş ses derin sahte literatürü ile tutarlı ve yorumlanabilir bir bulgudur [6]. Spektral düzlük, bir sinyalin güç spektrumunun geometrik ve aritmetik ortalamaları arasındaki oranı ölçmekte ve spektrumun ne kadar tonal veya gürültü-benzeri olduğunu yakalamaktadır. Güncel yapay zekâ üretim sistemleri, algısal kalite ölçütlerini -ki bu ölçütler tonal zenginliği desteklemektedir- optimize etme eğilimindedir ve bunun yan etkisi olarak spektrumları insan kayıtlarınınkinden sistematik olarak daha temiz olan sinyaller üretmektedir. İnsan kayıtları buna karşın kayıt ortamlarının, mikrofon ön-yükselticilerinin ve enstrümantal performansın katkıda bulunduğu geniş bantlı gürültüyü taşımaktadır.</w:t>
      </w:r>
    </w:p>
    <w:p>
      <w:pPr>
        <w:spacing w:before="200" w:after="120" w:line="240" w:lineRule="auto"/>
        <w:jc w:val="left"/>
        <w:keepNext/>
      </w:pPr>
      <w:r>
        <w:rPr>
          <w:rFonts w:ascii="Times New Roman" w:hAnsi="Times New Roman" w:cs="Times New Roman" w:eastAsia="Times New Roman"/>
          <w:b/>
          <w:i/>
          <w:color w:val="333333"/>
          <w:sz w:val="22"/>
        </w:rPr>
        <w:t>3.9. Üretici Modeller Arası Genelleme (Cross-Generator Generalisation)</w:t>
      </w:r>
    </w:p>
    <w:p>
      <w:pPr>
        <w:spacing w:line="240" w:lineRule="auto" w:before="160" w:after="240"/>
        <w:jc w:val="both"/>
      </w:pPr>
      <w:r>
        <w:rPr>
          <w:rFonts w:ascii="Times New Roman" w:hAnsi="Times New Roman" w:cs="Times New Roman" w:eastAsia="Times New Roman"/>
          <w:b w:val="0"/>
          <w:i w:val="0"/>
          <w:color w:val="333333"/>
          <w:sz w:val="22"/>
        </w:rPr>
        <w:t>Veri kümesi otoregresif modellerden (MusicGen [1]) difüzyon-tabanlı sistemlere (AudioLDM [2]) ve ticari üreticilere (Suno, Udio) kadar on iki veya daha fazla yapay zekâ üretim sistemini kapsamaktadır. Bu çeşitliliğin amacı, modeli tek bir üretici ailenin parmak izlerine aşırı uydurmaktan kaçınmaktır. §3.7'de raporlanan kaynak bazlı sonuçlar, bu yaklaşımın kısmen başarılı olduğunu göstermektedir; Suno ve Echoes parçalarında %88-93 duyarlılık elde edilmekte ancak deepfake alt kümesinde performans %50'ye düşmektedir. Bu sonuç, Li vd. [5] tarafından alanın açık problemi olarak işaret edilen üretici-modeller arası genelleme zorluğunu doğrulamaktadır.</w:t>
      </w:r>
    </w:p>
    <w:p>
      <w:pPr>
        <w:spacing w:before="200" w:after="120" w:line="240" w:lineRule="auto"/>
        <w:jc w:val="left"/>
        <w:keepNext/>
      </w:pPr>
      <w:r>
        <w:rPr>
          <w:rFonts w:ascii="Times New Roman" w:hAnsi="Times New Roman" w:cs="Times New Roman" w:eastAsia="Times New Roman"/>
          <w:b/>
          <w:i/>
          <w:color w:val="333333"/>
          <w:sz w:val="22"/>
        </w:rPr>
        <w:t>3.10. 1D-CNN Neden Düşük Performans Gösteriyor? (Why the 1D-CNN Underperforms)</w:t>
      </w:r>
    </w:p>
    <w:p>
      <w:pPr>
        <w:spacing w:line="240" w:lineRule="auto" w:before="160" w:after="240"/>
        <w:jc w:val="both"/>
      </w:pPr>
      <w:r>
        <w:rPr>
          <w:rFonts w:ascii="Times New Roman" w:hAnsi="Times New Roman" w:cs="Times New Roman" w:eastAsia="Times New Roman"/>
          <w:b w:val="0"/>
          <w:i w:val="0"/>
          <w:color w:val="333333"/>
          <w:sz w:val="22"/>
        </w:rPr>
        <w:t>1D-CNN'nin diğer mimarilere kıyasla belirgin biçimde düşük performansı (ROC-AUC = 0,8543) mimari bir uyumsuzluğun sonucudur. Tek boyutlu konvolüsyon, bir dizi boyunca yerel korelasyonları sömürmek üzere tasarlanmıştır; ancak AURIS'in girişi sıralanmamış 47 boyutlu düz bir öznitelik vektörüdür ve vektörün bitişik indeksleri ilgisiz miktarlara karşılık gelmektedir -bir spektral istatistik yanında bir tempo istatistiği, yanında bir vokal skor-. Bu liste boyunca bir çekirdek kaydıran konvolüsyonun öğreneceği anlamlı bir öteleme değişmezliği bulunmamaktadır. Sonuç olarak 1D-CNN, vektörü bir bütün olarak işleyen diğer üç DL mimarisinin gerisinde kalmakta ve doğrulukta Lojistik Regresyon tarafından bile geçilmektedir.</w:t>
      </w:r>
    </w:p>
    <w:p>
      <w:pPr>
        <w:spacing w:before="200" w:after="120" w:line="240" w:lineRule="auto"/>
        <w:jc w:val="left"/>
        <w:keepNext/>
      </w:pPr>
      <w:r>
        <w:rPr>
          <w:rFonts w:ascii="Times New Roman" w:hAnsi="Times New Roman" w:cs="Times New Roman" w:eastAsia="Times New Roman"/>
          <w:b/>
          <w:i/>
          <w:color w:val="333333"/>
          <w:sz w:val="22"/>
        </w:rPr>
        <w:t>3.11. Kalibrasyon ve Operasyonel Yararlılık (Calibration and Operational Utility)</w:t>
      </w:r>
    </w:p>
    <w:p>
      <w:pPr>
        <w:spacing w:line="240" w:lineRule="auto" w:before="160" w:after="240"/>
        <w:jc w:val="both"/>
      </w:pPr>
      <w:r>
        <w:rPr>
          <w:rFonts w:ascii="Times New Roman" w:hAnsi="Times New Roman" w:cs="Times New Roman" w:eastAsia="Times New Roman"/>
          <w:b w:val="0"/>
          <w:i w:val="0"/>
          <w:color w:val="333333"/>
          <w:sz w:val="22"/>
        </w:rPr>
        <w:t>Tespit sistemlerinin operasyonel konuşlandırmaları çoğunlukla bir hedef kesinlik veya duyarlılık üzerinden bir karar noktası seçmeyi gerektirir. 0,083 Brier skoru bunu mümkün kılmaktadır; çünkü tahmin edilen olasılıklar gerçek arka olasılığa yakın karşılık gelmektedir. Bu, 0,7 eşiğinin gerçekten '%70 güvenli' anlamına geldiğini, 'skor dağılımının 70. yüzdelik dilimi' anlamına gelmediğini ifade eder. Youden-optimal kesim noktası 0,4316, mevcut sınıf oranı altında dengeli doğruluk için ilkesel bir varsayılan değerdir; ancak farklı operasyonel maliyetlere sahip kullanıcılar Şekil 15'te görselleştirilen eğri boyunca eşiği güvenle hareket ettirebilir.</w:t>
      </w:r>
    </w:p>
    <w:p>
      <w:pPr>
        <w:spacing w:before="200" w:after="120" w:line="240" w:lineRule="auto"/>
        <w:jc w:val="left"/>
        <w:keepNext/>
      </w:pPr>
      <w:r>
        <w:rPr>
          <w:rFonts w:ascii="Times New Roman" w:hAnsi="Times New Roman" w:cs="Times New Roman" w:eastAsia="Times New Roman"/>
          <w:b/>
          <w:i/>
          <w:color w:val="333333"/>
          <w:sz w:val="22"/>
        </w:rPr>
        <w:t>3.12. Aşırı Öğrenme Tanısı (Overfit Diagnosis)</w:t>
      </w:r>
    </w:p>
    <w:p>
      <w:pPr>
        <w:spacing w:line="240" w:lineRule="auto" w:before="160" w:after="240"/>
        <w:jc w:val="both"/>
      </w:pPr>
      <w:r>
        <w:rPr>
          <w:rFonts w:ascii="Times New Roman" w:hAnsi="Times New Roman" w:cs="Times New Roman" w:eastAsia="Times New Roman"/>
          <w:b w:val="0"/>
          <w:i w:val="0"/>
          <w:color w:val="333333"/>
          <w:sz w:val="22"/>
        </w:rPr>
        <w:t>Topluluğun ezberleyip ezberlemediğini doğrudan sorgulamanın bir yolu, her modelin eğitim doğruluğunu 5-katlı çapraz doğrulama doğruluğu ile karşılaştırmaktır. Şekil 18, sonucu raporlamaktadır. Rastgele Orman %100,0 eğitim doğruluğuna karşı CV altında %86,1'e ulaşmakta; bu 13,9 puanlık bir fark anlamına gelmektedir. LightGBM ve SVM sırasıyla 12,0 ve 13,4 puanlık farklarla yakın takipte. XGBoost ve Gradyan Artırma bile -daha güçlü yerleşik düzenleştirmelerine rağmen- 8-9 puanlık bir fark sergilemektedir. Eğitim ve CV doğruluklarının esasen örtüştüğü tek topluluk üyesi 0,6 puanlık fark ile Lojistik Regresyondur. Bu örüntü bilgilendiricidir: ağaç toplulukları, 5-katlı CV'nin yakaladığı ama tek bir eğitim/test bölünmesinin yakalamayacağı gerçek bir aşırı öğrenme taşımaktadır. Nihai %88,0 CV doğruluğu (LightGBM) anlamlı bir tavan olarak okunmalı, rahat bir marj olarak değil.</w:t>
      </w:r>
    </w:p>
    <w:p>
      <w:pPr>
        <w:spacing w:before="200" w:after="40"/>
        <w:jc w:val="center"/>
        <w:keepNext/>
      </w:pPr>
      <w:r>
        <w:drawing>
          <wp:inline xmlns:a="http://schemas.openxmlformats.org/drawingml/2006/main" xmlns:pic="http://schemas.openxmlformats.org/drawingml/2006/picture">
            <wp:extent cx="2880000" cy="1837241"/>
            <wp:docPr id="18" name="Picture 18"/>
            <wp:cNvGraphicFramePr>
              <a:graphicFrameLocks noChangeAspect="1"/>
            </wp:cNvGraphicFramePr>
            <a:graphic>
              <a:graphicData uri="http://schemas.openxmlformats.org/drawingml/2006/picture">
                <pic:pic>
                  <pic:nvPicPr>
                    <pic:cNvPr id="0" name="train_val_gap.png"/>
                    <pic:cNvPicPr/>
                  </pic:nvPicPr>
                  <pic:blipFill>
                    <a:blip r:embed="rId26"/>
                    <a:stretch>
                      <a:fillRect/>
                    </a:stretch>
                  </pic:blipFill>
                  <pic:spPr>
                    <a:xfrm>
                      <a:off x="0" y="0"/>
                      <a:ext cx="2880000" cy="1837241"/>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18. Yedi öznitelik tabanlı modelin eğitim ve 5-katlı çapraz doğrulama doğrulukları. Fark, her modelin nominal doğruluğunun ne kadarının eğitim setini ezberlemekten geldiğini ölçmektedir.</w:t>
      </w:r>
    </w:p>
    <w:p>
      <w:pPr>
        <w:spacing w:before="0" w:after="240"/>
        <w:jc w:val="center"/>
      </w:pPr>
      <w:r>
        <w:rPr>
          <w:rFonts w:ascii="Times New Roman" w:hAnsi="Times New Roman" w:cs="Times New Roman" w:eastAsia="Times New Roman"/>
          <w:b w:val="0"/>
          <w:i/>
          <w:color w:val="666666"/>
          <w:sz w:val="22"/>
        </w:rPr>
        <w:t>(Train versus 5-fold cross-validation accuracy for the seven feature-based models. The gap quantifies how much of each model's nominal accuracy comes from memorising the training set.)</w:t>
      </w:r>
    </w:p>
    <w:p>
      <w:pPr>
        <w:spacing w:before="200" w:after="120" w:line="240" w:lineRule="auto"/>
        <w:jc w:val="left"/>
        <w:keepNext/>
      </w:pPr>
      <w:r>
        <w:rPr>
          <w:rFonts w:ascii="Times New Roman" w:hAnsi="Times New Roman" w:cs="Times New Roman" w:eastAsia="Times New Roman"/>
          <w:b/>
          <w:i/>
          <w:color w:val="333333"/>
          <w:sz w:val="22"/>
        </w:rPr>
        <w:t>3.13. Öznitelik Fazlalığı (Feature Redundancy)</w:t>
      </w:r>
    </w:p>
    <w:p>
      <w:pPr>
        <w:spacing w:line="240" w:lineRule="auto" w:before="160" w:after="240"/>
        <w:jc w:val="both"/>
      </w:pPr>
      <w:r>
        <w:rPr>
          <w:rFonts w:ascii="Times New Roman" w:hAnsi="Times New Roman" w:cs="Times New Roman" w:eastAsia="Times New Roman"/>
          <w:b w:val="0"/>
          <w:i w:val="0"/>
          <w:color w:val="333333"/>
          <w:sz w:val="22"/>
        </w:rPr>
        <w:t>47 öznitelik tasarım gereği fazlalıklıdır -spektrum, ritim ve sesin örtüşen yönlerini kapsamaktadır- ancak fazlalık beklenenden ağırdır. Yirmi öznitelik çiftinin |Pearson r| değeri tüm veri kümesinde 0,85'in üzerindedir. Dört çift 0,97'yi aşmaktadır: has_vocals ile vocal_harmonic_ratio (r = 0,994), pitch_std_cents ile vibrato_extent_cents (0,983), vocal_texture_score ile vocal_harmonic_ratio (0,975) ve has_vocals ile vocal_texture_score (0,974). Vokal olmayan öznitelikler arasında spektral merkez, bant genişliği ve azalma ortalamaları sıkı bir küme oluşturmaktadır (ikili r &gt; 0,94). Şekil 19, tüm |r| matrisini çizmekte; aşağı-sağda yer alan koyu çapraz-dışı bloklar vokal öznitelik ailesine karşılık gelmektedir.</w:t>
      </w:r>
    </w:p>
    <w:p>
      <w:pPr>
        <w:spacing w:before="200" w:after="40"/>
        <w:jc w:val="center"/>
        <w:keepNext/>
      </w:pPr>
      <w:r>
        <w:drawing>
          <wp:inline xmlns:a="http://schemas.openxmlformats.org/drawingml/2006/main" xmlns:pic="http://schemas.openxmlformats.org/drawingml/2006/picture">
            <wp:extent cx="3060000" cy="2811001"/>
            <wp:docPr id="19" name="Picture 19"/>
            <wp:cNvGraphicFramePr>
              <a:graphicFrameLocks noChangeAspect="1"/>
            </wp:cNvGraphicFramePr>
            <a:graphic>
              <a:graphicData uri="http://schemas.openxmlformats.org/drawingml/2006/picture">
                <pic:pic>
                  <pic:nvPicPr>
                    <pic:cNvPr id="0" name="feature_correlation_heatmap.png"/>
                    <pic:cNvPicPr/>
                  </pic:nvPicPr>
                  <pic:blipFill>
                    <a:blip r:embed="rId27"/>
                    <a:stretch>
                      <a:fillRect/>
                    </a:stretch>
                  </pic:blipFill>
                  <pic:spPr>
                    <a:xfrm>
                      <a:off x="0" y="0"/>
                      <a:ext cx="3060000" cy="2811001"/>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19. 47 öznitelik arasında mutlak Pearson korelasyon ısı haritası (tüm 5.195 parça üzerinden). Koyu hücreler fazlalıklı çiftleri işaretlemektedir.</w:t>
      </w:r>
    </w:p>
    <w:p>
      <w:pPr>
        <w:spacing w:before="0" w:after="240"/>
        <w:jc w:val="center"/>
      </w:pPr>
      <w:r>
        <w:rPr>
          <w:rFonts w:ascii="Times New Roman" w:hAnsi="Times New Roman" w:cs="Times New Roman" w:eastAsia="Times New Roman"/>
          <w:b w:val="0"/>
          <w:i/>
          <w:color w:val="666666"/>
          <w:sz w:val="22"/>
        </w:rPr>
        <w:t>(Absolute Pearson correlation heatmap between the 47 features across all 5,195 tracks. Dark cells mark redundant pairs.)</w:t>
      </w:r>
    </w:p>
    <w:p>
      <w:pPr>
        <w:spacing w:before="200" w:after="120" w:line="240" w:lineRule="auto"/>
        <w:jc w:val="left"/>
        <w:keepNext/>
      </w:pPr>
      <w:r>
        <w:rPr>
          <w:rFonts w:ascii="Times New Roman" w:hAnsi="Times New Roman" w:cs="Times New Roman" w:eastAsia="Times New Roman"/>
          <w:b/>
          <w:i/>
          <w:color w:val="333333"/>
          <w:sz w:val="22"/>
        </w:rPr>
        <w:t>3.14. Kaç Öznitelik Gerçekten Gereklidir? (How Many Features Are Actually Needed?)</w:t>
      </w:r>
    </w:p>
    <w:p>
      <w:pPr>
        <w:spacing w:line="240" w:lineRule="auto" w:before="160" w:after="240"/>
        <w:jc w:val="both"/>
      </w:pPr>
      <w:r>
        <w:rPr>
          <w:rFonts w:ascii="Times New Roman" w:hAnsi="Times New Roman" w:cs="Times New Roman" w:eastAsia="Times New Roman"/>
          <w:b w:val="0"/>
          <w:i w:val="0"/>
          <w:color w:val="333333"/>
          <w:sz w:val="22"/>
        </w:rPr>
        <w:t>Şekil 20, bir öznitelik çıkarma deneyi raporlamaktadır. Öznitelikler LightGBM önemine göre sıralanmakta ve ilk-N için N ∈ {1, 3, 5, 10, 15, 20, 30, 47} değerleri aynı 5-katlı çapraz doğrulama hattından geçirilmektedir. Eğri N = 10'a kadar diktir -doğruluk %59,8'den (N=1), %78,1 (N=5), %84,7 (N=10) değerlerine yükselmektedir- ve sonrasında plato yapar. N = 20'de doğruluk %88,0, N = 30'da %88,7'ye ulaşmakta ve tüm 47 özniteliğin kullanılması %88,5 vermektedir -bu N = 30 ile bir standart sapma içinde eşdeğerdir. Başka bir deyişle, önem sırasına göre sondaki on yedi öznitelik ölçülebilir ek doğruluk sağlamamaktadır. Pratik bir konuşlandırma, kalite kaybı olmadan bu uzun kuyruğu kesebilir.</w:t>
      </w:r>
    </w:p>
    <w:p>
      <w:pPr>
        <w:spacing w:before="200" w:after="40"/>
        <w:jc w:val="center"/>
        <w:keepNext/>
      </w:pPr>
      <w:r>
        <w:drawing>
          <wp:inline xmlns:a="http://schemas.openxmlformats.org/drawingml/2006/main" xmlns:pic="http://schemas.openxmlformats.org/drawingml/2006/picture">
            <wp:extent cx="2880000" cy="1936552"/>
            <wp:docPr id="20" name="Picture 20"/>
            <wp:cNvGraphicFramePr>
              <a:graphicFrameLocks noChangeAspect="1"/>
            </wp:cNvGraphicFramePr>
            <a:graphic>
              <a:graphicData uri="http://schemas.openxmlformats.org/drawingml/2006/picture">
                <pic:pic>
                  <pic:nvPicPr>
                    <pic:cNvPr id="0" name="feature_ablation_curve.png"/>
                    <pic:cNvPicPr/>
                  </pic:nvPicPr>
                  <pic:blipFill>
                    <a:blip r:embed="rId28"/>
                    <a:stretch>
                      <a:fillRect/>
                    </a:stretch>
                  </pic:blipFill>
                  <pic:spPr>
                    <a:xfrm>
                      <a:off x="0" y="0"/>
                      <a:ext cx="2880000" cy="1936552"/>
                    </a:xfrm>
                    <a:prstGeom prst="rect"/>
                  </pic:spPr>
                </pic:pic>
              </a:graphicData>
            </a:graphic>
          </wp:inline>
        </w:drawing>
      </w:r>
    </w:p>
    <w:p>
      <w:pPr>
        <w:spacing w:before="0" w:after="0"/>
        <w:jc w:val="center"/>
        <w:keepNext/>
      </w:pPr>
      <w:r>
        <w:rPr>
          <w:rFonts w:ascii="Times New Roman" w:hAnsi="Times New Roman" w:cs="Times New Roman" w:eastAsia="Times New Roman"/>
          <w:b w:val="0"/>
          <w:i/>
          <w:color w:val="333333"/>
          <w:sz w:val="22"/>
        </w:rPr>
        <w:t>Şekil 20. LightGBM'in 5-katlı CV doğruluğunun, öneme göre sıralanmış korunan öznitelik sayısının bir fonksiyonu olarak değişimi. Plato yaklaşık 20 öznitelikte başlamakta; son 17 öznitelik ölçülen doğruluğu değiştirmemektedir.</w:t>
      </w:r>
    </w:p>
    <w:p>
      <w:pPr>
        <w:spacing w:before="0" w:after="240"/>
        <w:jc w:val="center"/>
      </w:pPr>
      <w:r>
        <w:rPr>
          <w:rFonts w:ascii="Times New Roman" w:hAnsi="Times New Roman" w:cs="Times New Roman" w:eastAsia="Times New Roman"/>
          <w:b w:val="0"/>
          <w:i/>
          <w:color w:val="666666"/>
          <w:sz w:val="22"/>
        </w:rPr>
        <w:t>(5-fold CV accuracy of LightGBM as a function of the number of features retained, ranked by importance. The plateau begins at roughly 20 features; the last 17 features do not change measured accuracy.)</w:t>
      </w:r>
    </w:p>
    <w:p>
      <w:pPr>
        <w:spacing w:before="200" w:after="120" w:line="240" w:lineRule="auto"/>
        <w:jc w:val="left"/>
        <w:keepNext/>
      </w:pPr>
      <w:r>
        <w:rPr>
          <w:rFonts w:ascii="Times New Roman" w:hAnsi="Times New Roman" w:cs="Times New Roman" w:eastAsia="Times New Roman"/>
          <w:b/>
          <w:i/>
          <w:color w:val="333333"/>
          <w:sz w:val="22"/>
        </w:rPr>
        <w:t>3.15. Sınırlamalar (Limitations)</w:t>
      </w:r>
    </w:p>
    <w:p>
      <w:pPr>
        <w:spacing w:line="240" w:lineRule="auto" w:before="160" w:after="240"/>
        <w:jc w:val="both"/>
      </w:pPr>
      <w:r>
        <w:rPr>
          <w:rFonts w:ascii="Times New Roman" w:hAnsi="Times New Roman" w:cs="Times New Roman" w:eastAsia="Times New Roman"/>
          <w:b w:val="0"/>
          <w:i w:val="0"/>
          <w:color w:val="333333"/>
          <w:sz w:val="22"/>
        </w:rPr>
        <w:t>Açıkça kaydedilmesi gereken dört sınırlama bulunmaktadır. Birincisi, öznitelikler 15-30 saniye uzunluğundaki tam klipten çıkarılmaktadır; daha kısa klipler (&lt; 5 saniye) özellikle tempo ve vibrato istatistikleri için daha az güvenilir tahminler vermektedir, dolayısıyla sistem henüz canlı-mikrofon kısa-klip rejiminde değerlendirilmemiştir. İkincisi, veri kümesi yirmi türü kapsamakla birlikte, bazı türler (özellikle ambient ve lo-fi) yapay zekâ kısmında aşırı temsil edilmektedir; tür-stratifiye değerlendirme genellemeyi daha titiz olarak hesaba katacaktır. Üçüncüsü, düşmanca sağlamlık açıkça test edilmemiştir; MP3 sıkıştırma, perde kaydırma veya zaman gerdirme gibi sonradan işlemlerin tespit performansını azalttığı, vokoder izlerine dayanan sistemler için bilinmektedir (Afchar vd. [7]). AURIS, öznitelikleri vokoder izleri etrafında kurulu olmadığından bu etkiye daha az ciddi biçimde uğrayacaktır ama bağışıklık değildir. Dördüncüsü, §3.12'de raporlanan eğitim-CV farkları modelin dağılım kayışına duyarlı olduğunu göstermektedir; bu durum SONICS [23] ve FakeMusicCaps [24] gibi yeni kıyaslamalar üzerinde resmi bir tutulan değerlendirme ile teyit edilmelidir.</w:t>
      </w:r>
    </w:p>
    <w:p>
      <w:pPr>
        <w:spacing w:before="280" w:after="160" w:line="240" w:lineRule="auto"/>
        <w:jc w:val="left"/>
        <w:keepNext/>
      </w:pPr>
      <w:r>
        <w:rPr>
          <w:rFonts w:ascii="Times New Roman" w:hAnsi="Times New Roman" w:cs="Times New Roman" w:eastAsia="Times New Roman"/>
          <w:b/>
          <w:i w:val="0"/>
          <w:color w:val="333333"/>
          <w:sz w:val="24"/>
        </w:rPr>
        <w:t>4. SONUÇ (CONCLUSION)</w:t>
      </w:r>
    </w:p>
    <w:p>
      <w:pPr>
        <w:spacing w:line="240" w:lineRule="auto" w:before="160" w:after="240"/>
        <w:jc w:val="both"/>
      </w:pPr>
      <w:r>
        <w:rPr>
          <w:rFonts w:ascii="Times New Roman" w:hAnsi="Times New Roman" w:cs="Times New Roman" w:eastAsia="Times New Roman"/>
          <w:b w:val="0"/>
          <w:i w:val="0"/>
          <w:color w:val="333333"/>
          <w:sz w:val="22"/>
        </w:rPr>
        <w:t>Bu çalışmada, yapay zekâ tarafından üretilen müziği insan kompozisyonundan ayırt etmek için AURIS adlı uçtan-uca bir sistem sunulmuştur. Sistem, 47 boyutlu elle tasarlanmış bir akustik öznitelik vektörünü, on iki veya daha fazla yapay zekâ üretim sisteminden derlenen 5.195 örnek üzerinde eğitilen on bir sınıflandırma modelinden oluşan bir topluluk ile eşleştirmektedir. Temel ampirik bulgular şunlardır: LightGBM, %95,48 ortalama ROC-AUC değeri ile en yüksek performansı elde etmekte, Deep MLP %95,42 ile çok yakın bir ikinci sıra almakta ve LightGBM aynı zamanda havuzdaki en düşük katlar-arası varyansı (±0,0023) göstermektedir. Spektral düzlük, yapay zekâ-insan ayrımı için en bilgilendirici tek öznitelik olarak ortaya çıkmakta ve bu örüntü sentetik ve kaydedilmiş spektrumlar arasındaki fark açısından yorumlanabilir niteliktedir. Youden J ölçütü ile her kat için eşik optimizasyonu, mevcut 1:1,5 sınıf dengesizliği altında varsayılan 0,5 kesim noktasını sistematik biçimde geçmektedir. Tanı analizi iki sınırlamayı açıkça ortaya koymaktadır: tüm ağaç toplulukları eğitim ile çapraz doğrulama doğruluğu arasında 8-14 puanlık bir fark sergilemekte ve öznitelik çıkarma, 47 özniteliğin sondaki yaklaşık on yedisinin ölçülebilir ek doğruluk sağlamadığını göstermektedir.</w:t>
      </w:r>
    </w:p>
    <w:p>
      <w:pPr>
        <w:spacing w:line="240" w:lineRule="auto" w:before="160" w:after="240"/>
        <w:jc w:val="both"/>
      </w:pPr>
      <w:r>
        <w:rPr>
          <w:rFonts w:ascii="Times New Roman" w:hAnsi="Times New Roman" w:cs="Times New Roman" w:eastAsia="Times New Roman"/>
          <w:b w:val="0"/>
          <w:i w:val="0"/>
          <w:color w:val="333333"/>
          <w:sz w:val="22"/>
        </w:rPr>
        <w:t>Gelecek çalışmalar dört yön takip edecektir. Birincisi, SONICS [23] ve FakeMusicCaps [24] gibi gelişmekte olan halka açık kıyaslamalar üzerinde resmi bir üretici-modeller arası tutulan değerlendirme gerçekleştirilecektir. İkincisi, ince ayar yapılmış wav2vec2 [13] modeli, öznitelik tabanlı sınıflandırıcılarla doğrudan karşılaştırma için 5-katlı çapraz doğrulama protokolüne entegre edilecektir. Üçüncüsü, düşmanca sağlamlık MP3 sıkıştırma, perde kaydırma ve zaman gerdirme altında açıkça değerlendirilecektir. Dördüncüsü, veri kümesi on bin örneğe doğru genişletilecek ve ortaya çıkan yapay zekâ üretim sistemleri eklenecektir; özellikle Li vd. [5] tarafından tanımlanan üretici-modeller arası genelleme zorluğuna odaklanılacaktır.</w:t>
      </w:r>
    </w:p>
    <w:p>
      <w:pPr>
        <w:spacing w:before="280" w:after="160" w:line="240" w:lineRule="auto"/>
        <w:jc w:val="left"/>
        <w:keepNext/>
      </w:pPr>
      <w:r>
        <w:rPr>
          <w:rFonts w:ascii="Times New Roman" w:hAnsi="Times New Roman" w:cs="Times New Roman" w:eastAsia="Times New Roman"/>
          <w:b/>
          <w:i w:val="0"/>
          <w:color w:val="333333"/>
          <w:sz w:val="24"/>
        </w:rPr>
        <w:t>YAPAY ZEKÂ BEYANI (AI DISCLOSURE)</w:t>
      </w:r>
    </w:p>
    <w:p>
      <w:pPr>
        <w:spacing w:line="240" w:lineRule="auto" w:before="160" w:after="240"/>
        <w:jc w:val="both"/>
      </w:pPr>
      <w:r>
        <w:rPr>
          <w:rFonts w:ascii="Times New Roman" w:hAnsi="Times New Roman" w:cs="Times New Roman" w:eastAsia="Times New Roman"/>
          <w:b w:val="0"/>
          <w:i w:val="0"/>
          <w:color w:val="333333"/>
          <w:sz w:val="22"/>
        </w:rPr>
        <w:t>Üretken yapay zekâ, bu çalışmanın hazırlanması sırasında dil düzenlemesi ve şekil/analiz kodunun bir kısmı için yardımcı bir araç olarak kullanılmıştır. Tüm veriler, eğitilmiş modeller ve deneysel sonuçlar yazara aittir ve raporlanan her sayısal değer dayanak alınan veriler ile doğrulanmıştır. Yazar, tüm içeriğin bütünlüğü ve doğruluğunun sorumluluğunu üstlenmektedir.</w:t>
      </w:r>
    </w:p>
    <w:p>
      <w:pPr>
        <w:spacing w:before="280" w:after="160" w:line="240" w:lineRule="auto"/>
        <w:jc w:val="left"/>
        <w:keepNext/>
      </w:pPr>
      <w:r>
        <w:rPr>
          <w:rFonts w:ascii="Times New Roman" w:hAnsi="Times New Roman" w:cs="Times New Roman" w:eastAsia="Times New Roman"/>
          <w:b/>
          <w:i w:val="0"/>
          <w:color w:val="333333"/>
          <w:sz w:val="24"/>
        </w:rPr>
        <w:t>YAZAR KATKILARI (AUTHOR CONTRIBUTIONS)</w:t>
      </w:r>
    </w:p>
    <w:p>
      <w:pPr>
        <w:spacing w:line="240" w:lineRule="auto" w:before="160" w:after="240"/>
        <w:jc w:val="both"/>
      </w:pPr>
      <w:r>
        <w:rPr>
          <w:rFonts w:ascii="Times New Roman" w:hAnsi="Times New Roman" w:cs="Times New Roman" w:eastAsia="Times New Roman"/>
          <w:b w:val="0"/>
          <w:i w:val="0"/>
          <w:color w:val="333333"/>
          <w:sz w:val="22"/>
        </w:rPr>
        <w:t>Hasan Arthur Altuntaş: Kavramsallaştırma, metodoloji, yazılım, veri küratörlüğü, biçimsel analiz, araştırma, yazma — taslak hazırlama, yazma — inceleme ve düzenleme, görselleştirme.</w:t>
      </w:r>
    </w:p>
    <w:p>
      <w:pPr>
        <w:spacing w:before="280" w:after="160" w:line="240" w:lineRule="auto"/>
        <w:jc w:val="left"/>
        <w:keepNext/>
      </w:pPr>
      <w:r>
        <w:rPr>
          <w:rFonts w:ascii="Times New Roman" w:hAnsi="Times New Roman" w:cs="Times New Roman" w:eastAsia="Times New Roman"/>
          <w:b/>
          <w:i w:val="0"/>
          <w:color w:val="333333"/>
          <w:sz w:val="24"/>
        </w:rPr>
        <w:t>TEŞEKKÜR (ACKNOWLEDGEMENT)</w:t>
      </w:r>
    </w:p>
    <w:p>
      <w:pPr>
        <w:spacing w:line="240" w:lineRule="auto" w:before="160" w:after="240"/>
        <w:jc w:val="both"/>
      </w:pPr>
      <w:r>
        <w:rPr>
          <w:rFonts w:ascii="Times New Roman" w:hAnsi="Times New Roman" w:cs="Times New Roman" w:eastAsia="Times New Roman"/>
          <w:b w:val="0"/>
          <w:i w:val="0"/>
          <w:color w:val="333333"/>
          <w:sz w:val="22"/>
        </w:rPr>
        <w:t>Bu araştırma herhangi bir dış finansman almamıştır.</w:t>
      </w:r>
    </w:p>
    <w:p>
      <w:pPr>
        <w:spacing w:before="280" w:after="160" w:line="240" w:lineRule="auto"/>
        <w:jc w:val="left"/>
        <w:keepNext/>
      </w:pPr>
      <w:r>
        <w:rPr>
          <w:rFonts w:ascii="Times New Roman" w:hAnsi="Times New Roman" w:cs="Times New Roman" w:eastAsia="Times New Roman"/>
          <w:b/>
          <w:i w:val="0"/>
          <w:color w:val="333333"/>
          <w:sz w:val="24"/>
        </w:rPr>
        <w:t>ÇIKAR ÇATIŞMASI (CONFLICT OF INTEREST)</w:t>
      </w:r>
    </w:p>
    <w:p>
      <w:pPr>
        <w:spacing w:line="240" w:lineRule="auto" w:before="160" w:after="240"/>
        <w:jc w:val="both"/>
      </w:pPr>
      <w:r>
        <w:rPr>
          <w:rFonts w:ascii="Times New Roman" w:hAnsi="Times New Roman" w:cs="Times New Roman" w:eastAsia="Times New Roman"/>
          <w:b w:val="0"/>
          <w:i w:val="0"/>
          <w:color w:val="333333"/>
          <w:sz w:val="22"/>
        </w:rPr>
        <w:t>Yazar herhangi bir çıkar çatışması beyan etmemektedir.</w:t>
      </w:r>
    </w:p>
    <w:p>
      <w:pPr>
        <w:spacing w:before="280" w:after="160" w:line="240" w:lineRule="auto"/>
        <w:jc w:val="left"/>
        <w:keepNext/>
        <w:pageBreakBefore/>
      </w:pPr>
      <w:r>
        <w:rPr>
          <w:rFonts w:ascii="Times New Roman" w:hAnsi="Times New Roman" w:cs="Times New Roman" w:eastAsia="Times New Roman"/>
          <w:b/>
          <w:i w:val="0"/>
          <w:color w:val="333333"/>
          <w:sz w:val="24"/>
        </w:rPr>
        <w:t>KAYNAKLAR (REFERENCES)</w:t>
      </w:r>
    </w:p>
    <w:p>
      <w:pPr>
        <w:spacing w:before="0" w:after="80" w:line="240" w:lineRule="auto"/>
        <w:ind w:left="454" w:hanging="454"/>
        <w:jc w:val="both"/>
      </w:pPr>
      <w:r>
        <w:rPr>
          <w:rFonts w:ascii="Times New Roman" w:hAnsi="Times New Roman" w:cs="Times New Roman" w:eastAsia="Times New Roman"/>
          <w:b w:val="0"/>
          <w:i w:val="0"/>
          <w:color w:val="333333"/>
          <w:sz w:val="20"/>
        </w:rPr>
        <w:t>1. Copet J., Kreuk F., Gat I., Remez T., Kant D., Synnaeve G., Adi Y., Défossez A., Simple and Controllable Music Generation, Advances in Neural Information Processing Systems, 36, 2023. DOI: 10.48550/arXiv.2306.05284.</w:t>
      </w:r>
    </w:p>
    <w:p>
      <w:pPr>
        <w:spacing w:before="0" w:after="80" w:line="240" w:lineRule="auto"/>
        <w:ind w:left="454" w:hanging="454"/>
        <w:jc w:val="both"/>
      </w:pPr>
      <w:r>
        <w:rPr>
          <w:rFonts w:ascii="Times New Roman" w:hAnsi="Times New Roman" w:cs="Times New Roman" w:eastAsia="Times New Roman"/>
          <w:b w:val="0"/>
          <w:i w:val="0"/>
          <w:color w:val="333333"/>
          <w:sz w:val="20"/>
        </w:rPr>
        <w:t>2. Liu H., Chen Z., Yuan Y., Mei X., Liu X., Mandic D., Wang W., Plumbley M.D., AudioLDM: Text-to-Audio Generation with Latent Diffusion Models, Proceedings of the International Conference on Machine Learning (ICML 2023), 21450-21474, Honolulu, Hawaii, A.B.D., 23-29 Temmuz, 2023. DOI: 10.48550/arXiv.2301.12503.</w:t>
      </w:r>
    </w:p>
    <w:p>
      <w:pPr>
        <w:spacing w:before="0" w:after="80" w:line="240" w:lineRule="auto"/>
        <w:ind w:left="454" w:hanging="454"/>
        <w:jc w:val="both"/>
      </w:pPr>
      <w:r>
        <w:rPr>
          <w:rFonts w:ascii="Times New Roman" w:hAnsi="Times New Roman" w:cs="Times New Roman" w:eastAsia="Times New Roman"/>
          <w:b w:val="0"/>
          <w:i w:val="0"/>
          <w:color w:val="333333"/>
          <w:sz w:val="20"/>
        </w:rPr>
        <w:t>3. Yi J., Fu R., Tao J., Nie S., Ma H., Wang C., Wang T., Tian Z., Bai Y., Fan C., ADD 2022: The First Audio Deep Synthesis Detection Challenge, Proceedings of the IEEE International Conference on Acoustics, Speech and Signal Processing (ICASSP 2022), 9216-9220, Singapur, 22-27 Mayıs, 2022. DOI: 10.1109/ICASSP43922.2022.9746939.</w:t>
      </w:r>
    </w:p>
    <w:p>
      <w:pPr>
        <w:spacing w:before="0" w:after="80" w:line="240" w:lineRule="auto"/>
        <w:ind w:left="454" w:hanging="454"/>
        <w:jc w:val="both"/>
      </w:pPr>
      <w:r>
        <w:rPr>
          <w:rFonts w:ascii="Times New Roman" w:hAnsi="Times New Roman" w:cs="Times New Roman" w:eastAsia="Times New Roman"/>
          <w:b w:val="0"/>
          <w:i w:val="0"/>
          <w:color w:val="333333"/>
          <w:sz w:val="20"/>
        </w:rPr>
        <w:t>4. Frank J., Schönherr L., WaveFake: A Data Set to Facilitate Audio Deepfake Detection, Advances in Neural Information Processing Systems 2021 Datasets and Benchmarks Track, 2021. DOI: 10.5281/zenodo.5642694.</w:t>
      </w:r>
    </w:p>
    <w:p>
      <w:pPr>
        <w:spacing w:before="0" w:after="80" w:line="240" w:lineRule="auto"/>
        <w:ind w:left="454" w:hanging="454"/>
        <w:jc w:val="both"/>
      </w:pPr>
      <w:r>
        <w:rPr>
          <w:rFonts w:ascii="Times New Roman" w:hAnsi="Times New Roman" w:cs="Times New Roman" w:eastAsia="Times New Roman"/>
          <w:b w:val="0"/>
          <w:i w:val="0"/>
          <w:color w:val="333333"/>
          <w:sz w:val="20"/>
        </w:rPr>
        <w:t>5. Li Y., Milling M., Specia L., Schuller B.W., From Audio Deepfake Detection to AI-Generated Music Detection: A Pathway and Overview, arXiv preprint arXiv:2412.00571, 2024. DOI: 10.48550/arXiv.2412.00571.</w:t>
      </w:r>
    </w:p>
    <w:p>
      <w:pPr>
        <w:spacing w:before="0" w:after="80" w:line="240" w:lineRule="auto"/>
        <w:ind w:left="454" w:hanging="454"/>
        <w:jc w:val="both"/>
      </w:pPr>
      <w:r>
        <w:rPr>
          <w:rFonts w:ascii="Times New Roman" w:hAnsi="Times New Roman" w:cs="Times New Roman" w:eastAsia="Times New Roman"/>
          <w:b w:val="0"/>
          <w:i w:val="0"/>
          <w:color w:val="333333"/>
          <w:sz w:val="20"/>
        </w:rPr>
        <w:t>6. Yi J., Wang C., Tao J., Zhang X., Zhang C.Y., Zhao Y., Audio Deepfake Detection: A Survey, arXiv preprint arXiv:2308.14970, 2023. DOI: 10.48550/arXiv.2308.14970.</w:t>
      </w:r>
    </w:p>
    <w:p>
      <w:pPr>
        <w:spacing w:before="0" w:after="80" w:line="240" w:lineRule="auto"/>
        <w:ind w:left="454" w:hanging="454"/>
        <w:jc w:val="both"/>
      </w:pPr>
      <w:r>
        <w:rPr>
          <w:rFonts w:ascii="Times New Roman" w:hAnsi="Times New Roman" w:cs="Times New Roman" w:eastAsia="Times New Roman"/>
          <w:b w:val="0"/>
          <w:i w:val="0"/>
          <w:color w:val="333333"/>
          <w:sz w:val="20"/>
        </w:rPr>
        <w:t>7. Afchar D., Meseguer Brocal G., Hennequin R., AI-Generated Music Detection and Its Challenges, Proceedings of the IEEE International Conference on Acoustics, Speech and Signal Processing (ICASSP 2025), Hyderabad, Hindistan, 6-11 Nisan, 2025. DOI: 10.48550/arXiv.2501.10111.</w:t>
      </w:r>
    </w:p>
    <w:p>
      <w:pPr>
        <w:spacing w:before="0" w:after="80" w:line="240" w:lineRule="auto"/>
        <w:ind w:left="454" w:hanging="454"/>
        <w:jc w:val="both"/>
      </w:pPr>
      <w:r>
        <w:rPr>
          <w:rFonts w:ascii="Times New Roman" w:hAnsi="Times New Roman" w:cs="Times New Roman" w:eastAsia="Times New Roman"/>
          <w:b w:val="0"/>
          <w:i w:val="0"/>
          <w:color w:val="333333"/>
          <w:sz w:val="20"/>
        </w:rPr>
        <w:t>8. Kim Y., Go S., Segment Transformer: AI-Generated Music Detection via Music Structural Analysis, arXiv preprint arXiv:2509.08283, 2025. DOI: 10.48550/arXiv.2509.08283.</w:t>
      </w:r>
    </w:p>
    <w:p>
      <w:pPr>
        <w:spacing w:before="0" w:after="80" w:line="240" w:lineRule="auto"/>
        <w:ind w:left="454" w:hanging="454"/>
        <w:jc w:val="both"/>
      </w:pPr>
      <w:r>
        <w:rPr>
          <w:rFonts w:ascii="Times New Roman" w:hAnsi="Times New Roman" w:cs="Times New Roman" w:eastAsia="Times New Roman"/>
          <w:b w:val="0"/>
          <w:i w:val="0"/>
          <w:color w:val="333333"/>
          <w:sz w:val="20"/>
        </w:rPr>
        <w:t>9. Chen T., Guestrin C., XGBoost: A Scalable Tree Boosting System, Proceedings of the 22nd ACM SIGKDD International Conference on Knowledge Discovery and Data Mining (KDD '16), 785-794, San Francisco, CA, A.B.D., 13-17 Ağustos, 2016. DOI: 10.1145/2939672.2939785.</w:t>
      </w:r>
    </w:p>
    <w:p>
      <w:pPr>
        <w:spacing w:before="0" w:after="80" w:line="240" w:lineRule="auto"/>
        <w:ind w:left="454" w:hanging="454"/>
        <w:jc w:val="both"/>
      </w:pPr>
      <w:r>
        <w:rPr>
          <w:rFonts w:ascii="Times New Roman" w:hAnsi="Times New Roman" w:cs="Times New Roman" w:eastAsia="Times New Roman"/>
          <w:b w:val="0"/>
          <w:i w:val="0"/>
          <w:color w:val="333333"/>
          <w:sz w:val="20"/>
        </w:rPr>
        <w:t>10. Ke G., Meng Q., Finley T., Wang T., Chen W., Ma W., Ye Q., Liu T.Y., LightGBM: A Highly Efficient Gradient Boosting Decision Tree, Advances in Neural Information Processing Systems 30 (NIPS 2017), 3149-3157, Long Beach, California, A.B.D., 4-9 Aralık, 2017.</w:t>
      </w:r>
    </w:p>
    <w:p>
      <w:pPr>
        <w:spacing w:before="0" w:after="80" w:line="240" w:lineRule="auto"/>
        <w:ind w:left="454" w:hanging="454"/>
        <w:jc w:val="both"/>
      </w:pPr>
      <w:r>
        <w:rPr>
          <w:rFonts w:ascii="Times New Roman" w:hAnsi="Times New Roman" w:cs="Times New Roman" w:eastAsia="Times New Roman"/>
          <w:b w:val="0"/>
          <w:i w:val="0"/>
          <w:color w:val="333333"/>
          <w:sz w:val="20"/>
        </w:rPr>
        <w:t>11. Lundberg S.M., Lee S.I., A Unified Approach to Interpreting Model Predictions, Advances in Neural Information Processing Systems 30 (NIPS 2017), 4768-4777, Long Beach, California, A.B.D., 4-9 Aralık, 2017. DOI: 10.48550/arXiv.1705.07874.</w:t>
      </w:r>
    </w:p>
    <w:p>
      <w:pPr>
        <w:spacing w:before="0" w:after="80" w:line="240" w:lineRule="auto"/>
        <w:ind w:left="454" w:hanging="454"/>
        <w:jc w:val="both"/>
      </w:pPr>
      <w:r>
        <w:rPr>
          <w:rFonts w:ascii="Times New Roman" w:hAnsi="Times New Roman" w:cs="Times New Roman" w:eastAsia="Times New Roman"/>
          <w:b w:val="0"/>
          <w:i w:val="0"/>
          <w:color w:val="333333"/>
          <w:sz w:val="20"/>
        </w:rPr>
        <w:t>12. Martín-Doñas J.M., Álvarez A., The Vicomtech Audio Deepfake Detection System Based on Wav2vec2 for the 2022 ADD Challenge, Proceedings of the IEEE International Conference on Acoustics, Speech and Signal Processing (ICASSP 2022), 9266-9270, Singapur, 22-27 Mayıs, 2022. DOI: 10.1109/ICASSP43922.2022.9747768.</w:t>
      </w:r>
    </w:p>
    <w:p>
      <w:pPr>
        <w:spacing w:before="0" w:after="80" w:line="240" w:lineRule="auto"/>
        <w:ind w:left="454" w:hanging="454"/>
        <w:jc w:val="both"/>
      </w:pPr>
      <w:r>
        <w:rPr>
          <w:rFonts w:ascii="Times New Roman" w:hAnsi="Times New Roman" w:cs="Times New Roman" w:eastAsia="Times New Roman"/>
          <w:b w:val="0"/>
          <w:i w:val="0"/>
          <w:color w:val="333333"/>
          <w:sz w:val="20"/>
        </w:rPr>
        <w:t>13. Baevski A., Zhou Y., Mohamed A., Auli M., wav2vec 2.0: A Framework for Self-Supervised Learning of Speech Representations, Advances in Neural Information Processing Systems, 33, 12449-12460, 2020. DOI: 10.5555/3495724.3496768.</w:t>
      </w:r>
    </w:p>
    <w:p>
      <w:pPr>
        <w:spacing w:before="0" w:after="80" w:line="240" w:lineRule="auto"/>
        <w:ind w:left="454" w:hanging="454"/>
        <w:jc w:val="both"/>
      </w:pPr>
      <w:r>
        <w:rPr>
          <w:rFonts w:ascii="Times New Roman" w:hAnsi="Times New Roman" w:cs="Times New Roman" w:eastAsia="Times New Roman"/>
          <w:b w:val="0"/>
          <w:i w:val="0"/>
          <w:color w:val="333333"/>
          <w:sz w:val="20"/>
        </w:rPr>
        <w:t>14. Elizalde B., Deshmukh S., Al Ismail M., Wang H., CLAP: Learning Audio Concepts from Natural Language Supervision, Proceedings of the IEEE International Conference on Acoustics, Speech and Signal Processing (ICASSP 2023), 1-5, Rhodes, Yunanistan, 4-10 Haziran, 2023. DOI: 10.1109/ICASSP49357.2023.10095889.</w:t>
      </w:r>
    </w:p>
    <w:p>
      <w:pPr>
        <w:spacing w:before="0" w:after="80" w:line="240" w:lineRule="auto"/>
        <w:ind w:left="454" w:hanging="454"/>
        <w:jc w:val="both"/>
      </w:pPr>
      <w:r>
        <w:rPr>
          <w:rFonts w:ascii="Times New Roman" w:hAnsi="Times New Roman" w:cs="Times New Roman" w:eastAsia="Times New Roman"/>
          <w:b w:val="0"/>
          <w:i w:val="0"/>
          <w:color w:val="333333"/>
          <w:sz w:val="20"/>
        </w:rPr>
        <w:t>15. Wu Y., Chen K., Zhang T., Hui Y., Berg-Kirkpatrick T., Dubnov S., Large-Scale Contrastive Language-Audio Pretraining with Feature Fusion and Keyword-to-Caption Augmentation, Proceedings of the IEEE International Conference on Acoustics, Speech and Signal Processing (ICASSP 2023), 1-5, Rhodes, Yunanistan, 4-10 Haziran, 2023. DOI: 10.1109/ICASSP49357.2023.10095969.</w:t>
      </w:r>
    </w:p>
    <w:p>
      <w:pPr>
        <w:spacing w:before="0" w:after="80" w:line="240" w:lineRule="auto"/>
        <w:ind w:left="454" w:hanging="454"/>
        <w:jc w:val="both"/>
      </w:pPr>
      <w:r>
        <w:rPr>
          <w:rFonts w:ascii="Times New Roman" w:hAnsi="Times New Roman" w:cs="Times New Roman" w:eastAsia="Times New Roman"/>
          <w:b w:val="0"/>
          <w:i w:val="0"/>
          <w:color w:val="333333"/>
          <w:sz w:val="20"/>
        </w:rPr>
        <w:t>16. Liu Y., Yin Y., Zhu Q., Cui W., Musical Instrument Recognition by XGBoost Combining Feature Fusion, arXiv preprint arXiv:2206.00901, 2022. DOI: 10.48550/arXiv.2206.00901.</w:t>
      </w:r>
    </w:p>
    <w:p>
      <w:pPr>
        <w:spacing w:before="0" w:after="80" w:line="240" w:lineRule="auto"/>
        <w:ind w:left="454" w:hanging="454"/>
        <w:jc w:val="both"/>
      </w:pPr>
      <w:r>
        <w:rPr>
          <w:rFonts w:ascii="Times New Roman" w:hAnsi="Times New Roman" w:cs="Times New Roman" w:eastAsia="Times New Roman"/>
          <w:b w:val="0"/>
          <w:i w:val="0"/>
          <w:color w:val="333333"/>
          <w:sz w:val="20"/>
        </w:rPr>
        <w:t>17. Gan R., Huang T., Shao J., Wang F., Music Genre Classification Based on VMD-IWOA-XGBoost, Mathematics, 12 (10), 1549, 2024. DOI: 10.3390/math12101549.</w:t>
      </w:r>
    </w:p>
    <w:p>
      <w:pPr>
        <w:spacing w:before="0" w:after="80" w:line="240" w:lineRule="auto"/>
        <w:ind w:left="454" w:hanging="454"/>
        <w:jc w:val="both"/>
      </w:pPr>
      <w:r>
        <w:rPr>
          <w:rFonts w:ascii="Times New Roman" w:hAnsi="Times New Roman" w:cs="Times New Roman" w:eastAsia="Times New Roman"/>
          <w:b w:val="0"/>
          <w:i w:val="0"/>
          <w:color w:val="333333"/>
          <w:sz w:val="20"/>
        </w:rPr>
        <w:t>18. Hızlısoy S., Tüfekci Z., Derin Öğrenme İle Türkçe Müziklerden Müzik Türü Sınıflandırması, Avrupa Bilim ve Teknoloji Dergisi, 24, 176-183, 2021. DOI: 10.31590/ejosat.898588.</w:t>
      </w:r>
    </w:p>
    <w:p>
      <w:pPr>
        <w:spacing w:before="0" w:after="80" w:line="240" w:lineRule="auto"/>
        <w:ind w:left="454" w:hanging="454"/>
        <w:jc w:val="both"/>
      </w:pPr>
      <w:r>
        <w:rPr>
          <w:rFonts w:ascii="Times New Roman" w:hAnsi="Times New Roman" w:cs="Times New Roman" w:eastAsia="Times New Roman"/>
          <w:b w:val="0"/>
          <w:i w:val="0"/>
          <w:color w:val="333333"/>
          <w:sz w:val="20"/>
        </w:rPr>
        <w:t>19. Özbalcı M.C., Şahin H., Bilgin T.T., Classification of Music Genres of GTZAN Dataset with Machine Learning Methods, Mühendislik Bilimleri ve Araştırmaları Dergisi, 6 (1), 2024.</w:t>
      </w:r>
    </w:p>
    <w:p>
      <w:pPr>
        <w:spacing w:before="0" w:after="80" w:line="240" w:lineRule="auto"/>
        <w:ind w:left="454" w:hanging="454"/>
        <w:jc w:val="both"/>
      </w:pPr>
      <w:r>
        <w:rPr>
          <w:rFonts w:ascii="Times New Roman" w:hAnsi="Times New Roman" w:cs="Times New Roman" w:eastAsia="Times New Roman"/>
          <w:b w:val="0"/>
          <w:i w:val="0"/>
          <w:color w:val="333333"/>
          <w:sz w:val="20"/>
        </w:rPr>
        <w:t>20. Turan A.K., Polat H., Yarı Denetimli Makine Öğrenmesi Yöntemini Kullanarak Müzik Türlerinin Tespiti, Gazi Üniversitesi Fen Bilimleri Dergisi Part C: Tasarım ve Teknoloji, 12 (1), 92-107, 2024. DOI: 10.29109/gujsc.1352477.</w:t>
      </w:r>
    </w:p>
    <w:p>
      <w:pPr>
        <w:spacing w:before="0" w:after="80" w:line="240" w:lineRule="auto"/>
        <w:ind w:left="454" w:hanging="454"/>
        <w:jc w:val="both"/>
      </w:pPr>
      <w:r>
        <w:rPr>
          <w:rFonts w:ascii="Times New Roman" w:hAnsi="Times New Roman" w:cs="Times New Roman" w:eastAsia="Times New Roman"/>
          <w:b w:val="0"/>
          <w:i w:val="0"/>
          <w:color w:val="333333"/>
          <w:sz w:val="20"/>
        </w:rPr>
        <w:t>21. Kostrzewa D., Mazur W., Brzeski R., Wide Ensembles of Neural Networks in Music Genre Classification, Computational Science -- ICCS 2022, Lecture Notes in Computer Science, vol. 13351, 91-102, Springer, 2022. DOI: 10.1007/978-3-031-08754-7_9.</w:t>
      </w:r>
    </w:p>
    <w:p>
      <w:pPr>
        <w:spacing w:before="0" w:after="80" w:line="240" w:lineRule="auto"/>
        <w:ind w:left="454" w:hanging="454"/>
        <w:jc w:val="both"/>
      </w:pPr>
      <w:r>
        <w:rPr>
          <w:rFonts w:ascii="Times New Roman" w:hAnsi="Times New Roman" w:cs="Times New Roman" w:eastAsia="Times New Roman"/>
          <w:b w:val="0"/>
          <w:i w:val="0"/>
          <w:color w:val="333333"/>
          <w:sz w:val="20"/>
        </w:rPr>
        <w:t>22. Gourisaria M.K., Agrawal R., Sahni M., Comparative Analysis of Audio Classification with MFCC and STFT Features Using Machine Learning Techniques, Discover Internet of Things, 4 (1), 1, 2024. DOI: 10.1007/s43926-023-00049-y.</w:t>
      </w:r>
    </w:p>
    <w:p>
      <w:pPr>
        <w:spacing w:before="0" w:after="80" w:line="240" w:lineRule="auto"/>
        <w:ind w:left="454" w:hanging="454"/>
        <w:jc w:val="both"/>
      </w:pPr>
      <w:r>
        <w:rPr>
          <w:rFonts w:ascii="Times New Roman" w:hAnsi="Times New Roman" w:cs="Times New Roman" w:eastAsia="Times New Roman"/>
          <w:b w:val="0"/>
          <w:i w:val="0"/>
          <w:color w:val="333333"/>
          <w:sz w:val="20"/>
        </w:rPr>
        <w:t>23. Rahman M.A., Hakim Z.I.A., Sarker N.H., Paul B., Fattah S.A., SONICS: Synthetic Or Not -- Identifying Counterfeit Songs, Proceedings of the International Conference on Learning Representations (ICLR 2025), Singapur, 24-28 Nisan, 2025. DOI: 10.48550/arXiv.2408.14080.</w:t>
      </w:r>
    </w:p>
    <w:p>
      <w:pPr>
        <w:spacing w:before="0" w:after="80" w:line="240" w:lineRule="auto"/>
        <w:ind w:left="454" w:hanging="454"/>
        <w:jc w:val="both"/>
      </w:pPr>
      <w:r>
        <w:rPr>
          <w:rFonts w:ascii="Times New Roman" w:hAnsi="Times New Roman" w:cs="Times New Roman" w:eastAsia="Times New Roman"/>
          <w:b w:val="0"/>
          <w:i w:val="0"/>
          <w:color w:val="333333"/>
          <w:sz w:val="20"/>
        </w:rPr>
        <w:t>24. Comanducci L., Bestagini P., Tubaro S., FakeMusicCaps: A Dataset for Detection and Attribution of Synthetic Music Generated via Text-to-Music Models, arXiv preprint arXiv:2409.10684, 2024. DOI: 10.48550/arXiv.2409.10684.</w:t>
      </w:r>
    </w:p>
    <w:p>
      <w:pPr>
        <w:spacing w:before="0" w:after="80" w:line="240" w:lineRule="auto"/>
        <w:ind w:left="454" w:hanging="454"/>
        <w:jc w:val="both"/>
      </w:pPr>
      <w:r>
        <w:rPr>
          <w:rFonts w:ascii="Times New Roman" w:hAnsi="Times New Roman" w:cs="Times New Roman" w:eastAsia="Times New Roman"/>
          <w:b w:val="0"/>
          <w:i w:val="0"/>
          <w:color w:val="333333"/>
          <w:sz w:val="20"/>
        </w:rPr>
        <w:t>25. Pascu O., Oneata D., Cucu H., Müller N.M., Echoes: A Semantically-Aligned Music Deepfake Detection Dataset, arXiv preprint arXiv:2603.23667, 2025. DOI: 10.48550/arXiv.2603.23667.</w:t>
      </w:r>
    </w:p>
    <w:p>
      <w:pPr>
        <w:spacing w:before="0" w:after="80" w:line="240" w:lineRule="auto"/>
        <w:ind w:left="454" w:hanging="454"/>
        <w:jc w:val="both"/>
      </w:pPr>
      <w:r>
        <w:rPr>
          <w:rFonts w:ascii="Times New Roman" w:hAnsi="Times New Roman" w:cs="Times New Roman" w:eastAsia="Times New Roman"/>
          <w:b w:val="0"/>
          <w:i w:val="0"/>
          <w:color w:val="333333"/>
          <w:sz w:val="20"/>
        </w:rPr>
        <w:t>26. Sunday N., Detecting Musical Deepfakes, arXiv preprint arXiv:2505.09633, 2025. DOI: 10.48550/arXiv.2505.09633.</w:t>
      </w:r>
    </w:p>
    <w:p>
      <w:pPr>
        <w:spacing w:before="0" w:after="80" w:line="240" w:lineRule="auto"/>
        <w:ind w:left="454" w:hanging="454"/>
        <w:jc w:val="both"/>
      </w:pPr>
      <w:r>
        <w:rPr>
          <w:rFonts w:ascii="Times New Roman" w:hAnsi="Times New Roman" w:cs="Times New Roman" w:eastAsia="Times New Roman"/>
          <w:b w:val="0"/>
          <w:i w:val="0"/>
          <w:color w:val="333333"/>
          <w:sz w:val="20"/>
        </w:rPr>
        <w:t>27. Sroka T., Wężowicz T., Sidorczuk D., Modrzejewski M., Evaluating Fake Music Detection Performance Under Audio Augmentations, arXiv preprint arXiv:2507.10447, 2025. DOI: 10.48550/arXiv.2507.10447.</w:t>
      </w:r>
    </w:p>
    <w:p>
      <w:pPr>
        <w:spacing w:before="0" w:after="80" w:line="240" w:lineRule="auto"/>
        <w:ind w:left="454" w:hanging="454"/>
        <w:jc w:val="both"/>
      </w:pPr>
      <w:r>
        <w:rPr>
          <w:rFonts w:ascii="Times New Roman" w:hAnsi="Times New Roman" w:cs="Times New Roman" w:eastAsia="Times New Roman"/>
          <w:b w:val="0"/>
          <w:i w:val="0"/>
          <w:color w:val="333333"/>
          <w:sz w:val="20"/>
        </w:rPr>
        <w:t>28. McFee B., Raffel C., Liang D., Ellis D.P.W., McVicar M., Battenberg E., Nieto O., librosa: Audio and Music Signal Analysis in Python, Proceedings of the 14th Python in Science Conference (SciPy 2015), 18-24, Austin, Texas, A.B.D., 6-12 Temmuz, 2015. DOI: 10.25080/Majora-7b98e3ed-003.</w:t>
      </w:r>
    </w:p>
    <w:p>
      <w:pPr>
        <w:spacing w:before="0" w:after="80" w:line="240" w:lineRule="auto"/>
        <w:ind w:left="454" w:hanging="454"/>
        <w:jc w:val="both"/>
      </w:pPr>
      <w:r>
        <w:rPr>
          <w:rFonts w:ascii="Times New Roman" w:hAnsi="Times New Roman" w:cs="Times New Roman" w:eastAsia="Times New Roman"/>
          <w:b w:val="0"/>
          <w:i w:val="0"/>
          <w:color w:val="333333"/>
          <w:sz w:val="20"/>
        </w:rPr>
        <w:t>29. Pedregosa F., Varoquaux G., Gramfort A., Michel V., Thirion B., Grisel O., Blondel M., Prettenhofer P., Weiss R., Dubourg V., Vanderplas J., Passos A., Cournapeau D., Brucher M., Perrot M., Duchesnay E., Scikit-learn: Machine Learning in Python, Journal of Machine Learning Research, 12, 2825-2830, 2011.</w:t>
      </w:r>
    </w:p>
    <w:p>
      <w:pPr>
        <w:spacing w:before="0" w:after="80" w:line="240" w:lineRule="auto"/>
        <w:ind w:left="454" w:hanging="454"/>
        <w:jc w:val="both"/>
      </w:pPr>
      <w:r>
        <w:rPr>
          <w:rFonts w:ascii="Times New Roman" w:hAnsi="Times New Roman" w:cs="Times New Roman" w:eastAsia="Times New Roman"/>
          <w:b w:val="0"/>
          <w:i w:val="0"/>
          <w:color w:val="333333"/>
          <w:sz w:val="20"/>
        </w:rPr>
        <w:t>30. Kingma D.P., Ba J., Adam: A Method for Stochastic Optimization, Proceedings of the 3rd International Conference on Learning Representations (ICLR 2015), 1-15, San Diego, California, A.B.D., 7-9 Mayıs, 2015. DOI: 10.48550/arXiv.1412.6980.</w:t>
      </w:r>
    </w:p>
    <w:sectPr w:rsidR="00FC693F" w:rsidRPr="0006063C" w:rsidSect="00034616">
      <w:type w:val="continuous"/>
      <w:pgSz w:w="11906" w:h="16838"/>
      <w:pgMar w:top="1582" w:right="850" w:bottom="278" w:left="850" w:header="720" w:footer="720" w:gutter="0"/>
      <w:docGrid w:linePitch="360"/>
      <w:cols w:num="2" w:space="28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