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t>Bu çalışma, yapay zekâ tarafından üretilen müziklerin insan tarafından üretilen müziklerden otomatik olarak ayırt edilmesi problemi üzerine odaklanmaktadır. Suno, Udio, MusicGen ve AudioLDM2 gibi ses üretim platformlarının yaygınlaşmasıyla birlikte müzik endüstrisinde ciddi telif hakkı ve içerik doğrulama sorunları ortaya çıkmıştır.</w:t>
      </w:r>
    </w:p>
    <w:p>
      <w:pPr>
        <w:pStyle w:val="Normal"/>
      </w:pPr>
      <w:r>
        <w:t xml:space="preserve">Çalışmanın temel amacı, akustik öznitelik mühendisliğine dayalı, yorumlanabilir ve çok platformlu bir yapay zekâ müziği tespit sistemi geliştirmektir. Bu amaçla AURIS (Acoustic-feature-based AI music Recognition and Identification System) tasarlanmış ve hayata geçirilmiştir.</w:t>
      </w:r>
    </w:p>
    <w:p>
      <w:pPr>
        <w:pStyle w:val="Normal"/>
      </w:pPr>
      <w:r>
        <w:t xml:space="preserve">Geliştirilen sistem, ses sinyallerinden beş kategoride toplam 47 akustik öznitelik çıkarmaktadır: spektral, zamansal, onset/ritim, harmonik ve vokal öznitelikler. 8 farklı kaynaktan derlenen 5.195 ses kaydından oluşan veri kümesi üzerinde 7 klasik makine öğrenmesi ve 4 derin öğrenme modeli, 5 katlı tabakalı çapraz doğrulama protokolüyle karşılaştırmalı olarak değerlendirilmiştir.</w:t>
      </w:r>
    </w:p>
    <w:p>
      <w:pPr>
        <w:pStyle w:val="Normal"/>
      </w:pPr>
      <w:r>
        <w:t xml:space="preserve">Deneysel sonuçlar, LightGBM modelinin 0,9549 ROC-AUC, %88,39 doğruluk ve 0,8575 F1-skoru ile en yüksek performansı sergilediğini ortaya koymaktadır. Brier skoru 0,083 olarak hesaplanmış; Youden J istatistiğiyle optimal karar eşiği θ*=0,4316 olarak belirlenmiştir. SHAP (Shapley Additive exPlanations) entegrasyonu, her kararı öznitelik bazında açıklanabilir kılmaktadır.</w:t>
      </w:r>
    </w:p>
    <w:p>
      <w:pPr>
        <w:pStyle w:val="Normal"/>
      </w:pPr>
      <w:r>
        <w:t xml:space="preserve">AURIS sistemi modüler bir mimari benimsemektedir. Sunum katmanında Next.js 14 ve TypeScript ile geliştirilen duyarlı web platformu ile Kotlin ve Jetpack Compose ile yazılmış yerel Android uygulaması yer almaktadır. İş mantığı katmanında FastAPI tabanlı REST API servisi, veri katmanında ise eğitilmiş LightGBM modeli ve SHAP açıklanabilirlik modülü konumlandırılmıştır.</w:t>
      </w:r>
    </w:p>
    <w:p>
      <w:pPr>
        <w:pStyle w:val="Normal"/>
      </w:pPr>
      <w:r>
        <w:t xml:space="preserve">Çalışma sonucunda AURIS sisteminin, açık kaynak ve ücretsiz erişim ilkeleriyle mevcut ticari çözümlerle rekabet edebilir bir performans sergilediği ortaya konulmuştur. Sistemin şeffaf metodolojisi, SHAP tabanlı açıklanabilirliği ve çok üreticili veri kümesiyle akademik tekrar edilebilirliğe önemli bir katkı sunmaktadır.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t>This study focuses on the problem of automatically distinguishing AI-generated music from human-composed music. The rapid proliferation of generative AI platforms such as Suno, Udio, MusicGen, and AudioLDM2 has introduced serious copyright and content authenticity challenges in the music industry.</w:t>
      </w:r>
    </w:p>
    <w:p>
      <w:pPr>
        <w:pStyle w:val="Normal"/>
      </w:pPr>
      <w:r>
        <w:t xml:space="preserve">The primary objective of this work is to develop a reliable, interpretable, and multi-platform AI music detection system grounded in acoustic feature engineering. To this end, AURIS (Acoustic-feature-based AI music Recognition and Identification System) has been designed and deployed.</w:t>
      </w:r>
    </w:p>
    <w:p>
      <w:pPr>
        <w:pStyle w:val="Normal"/>
      </w:pPr>
      <w:r>
        <w:t xml:space="preserve">The system extracts 47 acoustic features across five categories — spectral, temporal, onset/rhythm, harmonic, and vocal — from audio signals. A dataset of 5,195 recordings compiled from 8 distinct sources was used to train and evaluate 7 classical machine learning and 4 deep learning models under 5-fold stratified cross-validation.</w:t>
      </w:r>
    </w:p>
    <w:p>
      <w:pPr>
        <w:pStyle w:val="Normal"/>
      </w:pPr>
      <w:r>
        <w:t xml:space="preserve">Experimental results show that LightGBM achieves the highest performance with a ROC-AUC of 0.9549, accuracy of 88.39%, F1-score of 0.8575, and Brier score of 0.083. The decision threshold is optimized to θ*=0.4316 using Youden's J statistic. SHAP (Shapley Additive exPlanations) integration provides feature-level explanations for every prediction.</w:t>
      </w:r>
    </w:p>
    <w:p>
      <w:pPr>
        <w:pStyle w:val="Normal"/>
      </w:pPr>
      <w:r>
        <w:t xml:space="preserve">AURIS adopts a modular three-layer architecture. The presentation layer includes a responsive web platform built with Next.js 14 and TypeScript, and a native Android application developed with Kotlin and Jetpack Compose. The business logic layer hosts a FastAPI-based REST API, while the data layer contains the trained LightGBM model and SHAP explainability module.</w:t>
      </w:r>
    </w:p>
    <w:p>
      <w:pPr>
        <w:pStyle w:val="Normal"/>
      </w:pPr>
      <w:r>
        <w:t xml:space="preserve">This work demonstrates that AURIS achieves competitive performance with existing commercial solutions while offering open-source access, transparent cross-validation methodology, and SHAP-based interpretability — contributing to reproducibility and accountability in AI music detection.</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ve JEN-1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[3] bu sorunun müzik tespitinin önündeki en büyük engel olduğunu vurgularken, Bhatt vd. [2] çapraz-üretici genellemenin alanın açık problemi olmaya devam ettiğini ortaya koymuştur [2], [3].</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Soruları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sorudan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(2021) tarafından derlenen WaveFake'tir [7]; HiFi-GAN, MelGAN, WaveGlow ve benzeri yedi farklı vocoder mimarisinin çıktısını içermektedir.</w:t>
      </w:r>
    </w:p>
    <w:p>
      <w:pPr>
        <w:pStyle w:val="PARAGRAFMETN"/>
      </w:pPr>
      <w:r>
        <w:t xml:space="preserve">Ses derin sahteciliği tespiti alanında düzenlenen ilk uluslararası yarışma olan ADD 2022 [8], üç farklı zorluk seviyesinde birleşik değerlendirme sağlamıştır. Martín-Doñas ve Álvarez (2022) [9], yarışmada wav2vec2-base modelini doğrudan uygulayarak öznitelik mühendisliği gerektirmeden rekabetçi sonuçlar elde etmiştir; bu çalışma BM401 döneminin başlangıç ilham kaynağını oluşturmuştur. Afchar vd.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[3] bu geçiş sürecini sistematik biçimde ele almış; mevcut çalışmaların büyük bölümünün tek üreticiye özgü koşullarda başarılı olduğunu, yeni ve görülmemiş sistemlere genelleme yapamadığını ortaya koymuştur. Kosta vd.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[12], ses ve metin çiftleri üzerinde karşıtsal öğrenme yürüterek ortak bir gömme uzayı oluşturmaktadır. LAION-CLAP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[15], geniş sinir ağı topluluklarının müzik türü sınıflandırmasında tek modele kıyasla önemli kazanım sağladığını ortaya koymuştur. Gan vd. [16], VMD tabanlı öznitelik ayrıştırmasıyla desteklenen XGBoost topluluk modelinin GTZAN veri kümesinde rekabetçi doğruluk elde ettiğini bildirmiştir. Liu vd.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~0.91</w:t>
            </w:r>
          </w:p>
        </w:tc>
      </w:tr>
      <w:tr>
        <w:trPr/>
        <w:tc>
          <w:tcPr>
            <w:tcW w:w="2154" w:type="dxa"/>
            <w:shd w:val="clear" w:color="auto" w:fill="EBF3FB"/>
            <w:vAlign w:val="center"/>
          </w:tcPr>
          <w:p>
            <w:pPr>
              <w:jc w:val="center"/>
            </w:pPr>
            <w:r>
              <w:rPr>
                <w:sz w:val="18"/>
              </w:rPr>
              <w:t xml:space="preserve">Bhatt vd. [2]</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Evet</w:t>
            </w:r>
          </w:p>
        </w:tc>
        <w:tc>
          <w:tcPr>
            <w:tcW w:w="1190" w:type="dxa"/>
            <w:shd w:val="clear" w:color="auto" w:fill="EBF3FB"/>
            <w:vAlign w:val="center"/>
          </w:tcPr>
          <w:p>
            <w:pPr>
              <w:jc w:val="center"/>
            </w:pPr>
            <w:r>
              <w:rPr>
                <w:sz w:val="18"/>
              </w:rPr>
              <w:t xml:space="preserve">Raporlanmadı</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dört ana HuggingFace veri kümesi kullanılmıştır: SleepyJesse/ai_music_large on iki farklı üretim sistemini kapsayan yaklaşık 2.000 parçayı, disco-eth/AIME Suno v3/v4/v5, Udio, MusicGen, AudioLDM2 ve diğerlerini içeren yaklaşık 1.000 parçayı, zuhri025/suno-audio yalnızca Suno modelinden yaklaşık 500 parçayı, SleepyJesse/ai_music_large veri kümesinin bir alt bölümü olan "deepfake" etiketli yaklaşık 500 parçayı kapsamaktadır; bu son grup özellikle stüdyo kalitesinde mastering uygulanmış YZ örneklerini içermektedir.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SleepyJesse deepfake alt kümesi</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~492</w:t>
            </w:r>
          </w:p>
        </w:tc>
        <w:tc>
          <w:tcPr>
            <w:tcW w:w="2835" w:type="dxa"/>
            <w:shd w:val="clear" w:color="auto" w:fill="EBF3FB"/>
            <w:vAlign w:val="center"/>
          </w:tcPr>
          <w:p>
            <w:pPr>
              <w:jc w:val="center"/>
            </w:pPr>
            <w:r>
              <w:rPr>
                <w:sz w:val="18"/>
              </w:rPr>
              <w:t xml:space="preserve">Stüdyo kalitesinde YZ</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10 öznitelikten oluşan zamansal ve ritmik kategori,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Onset/Beat kategorisindeki 2 öznitelik (zero_crossing_std, temporal_patterns) zamansal örüntü karmaşıklığını ve sıfır geçiş oranının değişkenliğini betimlemektedir. Harmonik/Tonal kategorisindeki 7 öznitelik tonal içeriği ölçmektedir: chroma_entropy akor geçişlerinin entropisini, chroma_std kroma vektöründeki değişkenliği, tonnetz_std ise tonal uzaydaki kararlılığı sayısallaştırmaktadır. YZ sistemlerinin daha simetrik ve döngüsel akor dizileri üretme eğilimi bu öznitelikler aracılığıyla yakalanmaktadır.</w:t>
      </w:r>
    </w:p>
    <w:p>
      <w:pPr>
        <w:pStyle w:val="PARAGRAFMETN"/>
      </w:pPr>
      <w:r>
        <w:t xml:space="preserve">12 öznitelikten oluşan Vokal/İfadesel kategori, vocal_analyzer.py içindeki VocalFeatures sınıfı aracılığıyla hesaplanmaktadır. Bu sınıf önce librosa'nın harmonik-perküsif ses ayrıştırması (HPSS) ile vokal bileşeni izole etmekte; ardından perde (pitch), vibrato hızı ve genişliği, formant tutarlılığı, nefes örüntüsü, vokal doku karmaşıklığı ve vokal YZ yapaylık göstergesini sırasıyla hesaplamaktadır. YZ sistemleri insan sesini taklit etmekle birlikte vibrato düzenliliği ve formant geçiş örüntülerinde tutarsızlıklar sergileme eğilimindedir; bu 12 öznitelik söz konusu ince farkları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rms_dynamic_range,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2</w:t>
            </w:r>
          </w:p>
        </w:tc>
        <w:tc>
          <w:tcPr>
            <w:tcW w:w="4536" w:type="dxa"/>
            <w:shd w:val="clear" w:color="auto" w:fill="FFFFFF"/>
            <w:vAlign w:val="center"/>
          </w:tcPr>
          <w:p>
            <w:pPr>
              <w:jc w:val="center"/>
            </w:pPr>
            <w:r>
              <w:rPr>
                <w:sz w:val="18"/>
              </w:rPr>
              <w:t xml:space="preserve">zero_crossing_std, temporal_patterns</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7</w:t>
            </w:r>
          </w:p>
        </w:tc>
        <w:tc>
          <w:tcPr>
            <w:tcW w:w="4536" w:type="dxa"/>
            <w:shd w:val="clear" w:color="auto" w:fill="EBF3FB"/>
            <w:vAlign w:val="center"/>
          </w:tcPr>
          <w:p>
            <w:pPr>
              <w:jc w:val="center"/>
            </w:pPr>
            <w:r>
              <w:rPr>
                <w:sz w:val="18"/>
              </w:rPr>
              <w:t xml:space="preserve">chroma_entropy, chroma_std, tonnetz_std, harmonic_ratio, chroma_transition_rate</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12</w:t>
            </w:r>
          </w:p>
        </w:tc>
        <w:tc>
          <w:tcPr>
            <w:tcW w:w="4536" w:type="dxa"/>
            <w:shd w:val="clear" w:color="auto" w:fill="FFFFFF"/>
            <w:vAlign w:val="center"/>
          </w:tcPr>
          <w:p>
            <w:pPr>
              <w:jc w:val="center"/>
            </w:pPr>
            <w:r>
              <w:rPr>
                <w:sz w:val="18"/>
              </w:rPr>
              <w:t xml:space="preserve">pitch_stability_score, vibrato_regularity_score, formant_consistency_score, vocal_ai_score</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3.3.3.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[20], n_estimators=240, max_depth=5, learning_rate=0,06, subsample=0,85, colsample_bytree=0,8, scale_pos_weight=1,5 ve eval_metric=auc parametreleriyle yapılandırılmıştır. LightGBM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PARAGRAFMETN"/>
      </w:pPr>
      <w:r>
        <w:t xml:space="preserve">score_fusion.py modülü, /api/analyze çağrısı sırasında yedi MO modelinin tahmin olasılıklarını ağırlıklı ortalama yöntemiyle birleştirmektedir. Her modelin ağırlığı 5 katlı çapraz doğrulamada elde ettiği ROC-AUC değeriyle orantılıdır; bu yaklaşım LightGBM ve XGBoost gibi yüksek performanslı modellere daha fazla oy hakkı tanımaktadır. Derin öğrenme modelleri farklı çıktı ölçeklerinden (sigmoid vs. softmax) kaynaklanan kalibrasyon karmaşıklığı nedeniyle füzyon dışında tutulmuştur; bu modellerin sonuçları yalnızca modelVotes alanında bilgi amaçlı raporlanmaktadır.</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Youden-optimal eşik θ* uygulandıktan sonra elde edilen Kesinlik ve Duyarlılık değerleri sunulmaktadır. Bu metrikler Çizelge 4.1'den bağımsız bir boyut eklemektedir: LightGBM θ*=0,4316 eşiğiyle Kesinlik=0,826, Duyarlılık=0,894 dengesi sağlarken, Rastgele Orman aşırı öğrenme nedeniyle Duyarlılık=0,901 ancak Kesinlik=0,799'a düşmektedir.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1247"/>
        <w:gridCol w:w="1304"/>
        <w:gridCol w:w="1417"/>
        <w:gridCol w:w="1530"/>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247" w:type="dxa"/>
            <w:shd w:val="clear" w:color="auto" w:fill="1F3864"/>
            <w:vAlign w:val="center"/>
          </w:tcPr>
          <w:p>
            <w:pPr>
              <w:jc w:val="center"/>
            </w:pPr>
            <w:r>
              <w:rPr>
                <w:b/>
                <w:color w:val="FFFFFF"/>
                <w:sz w:val="18"/>
              </w:rPr>
              <w:t xml:space="preserve">θ* Eşiği</w:t>
            </w:r>
          </w:p>
        </w:tc>
        <w:tc>
          <w:tcPr>
            <w:tcW w:w="1304" w:type="dxa"/>
            <w:shd w:val="clear" w:color="auto" w:fill="1F3864"/>
            <w:vAlign w:val="center"/>
          </w:tcPr>
          <w:p>
            <w:pPr>
              <w:jc w:val="center"/>
            </w:pPr>
            <w:r>
              <w:rPr>
                <w:b/>
                <w:color w:val="FFFFFF"/>
                <w:sz w:val="18"/>
              </w:rPr>
              <w:t xml:space="preserve">Kesinlik</w:t>
            </w:r>
          </w:p>
        </w:tc>
        <w:tc>
          <w:tcPr>
            <w:tcW w:w="1417" w:type="dxa"/>
            <w:shd w:val="clear" w:color="auto" w:fill="1F3864"/>
            <w:vAlign w:val="center"/>
          </w:tcPr>
          <w:p>
            <w:pPr>
              <w:jc w:val="center"/>
            </w:pPr>
            <w:r>
              <w:rPr>
                <w:b/>
                <w:color w:val="FFFFFF"/>
                <w:sz w:val="18"/>
              </w:rPr>
              <w:t xml:space="preserve">Duyarlılık</w:t>
            </w:r>
          </w:p>
        </w:tc>
        <w:tc>
          <w:tcPr>
            <w:tcW w:w="153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0,4316</w:t>
            </w:r>
          </w:p>
        </w:tc>
        <w:tc>
          <w:tcPr>
            <w:tcW w:w="1304" w:type="dxa"/>
            <w:shd w:val="clear" w:color="auto" w:fill="FFFFFF"/>
            <w:vAlign w:val="center"/>
          </w:tcPr>
          <w:p>
            <w:pPr>
              <w:jc w:val="center"/>
            </w:pPr>
            <w:r>
              <w:rPr>
                <w:sz w:val="18"/>
              </w:rPr>
              <w:t xml:space="preserve">0,826</w:t>
            </w:r>
          </w:p>
        </w:tc>
        <w:tc>
          <w:tcPr>
            <w:tcW w:w="1417" w:type="dxa"/>
            <w:shd w:val="clear" w:color="auto" w:fill="FFFFFF"/>
            <w:vAlign w:val="center"/>
          </w:tcPr>
          <w:p>
            <w:pPr>
              <w:jc w:val="center"/>
            </w:pPr>
            <w:r>
              <w:rPr>
                <w:sz w:val="18"/>
              </w:rPr>
              <w:t xml:space="preserve">0,894</w:t>
            </w:r>
          </w:p>
        </w:tc>
        <w:tc>
          <w:tcPr>
            <w:tcW w:w="1530" w:type="dxa"/>
            <w:shd w:val="clear" w:color="auto" w:fill="FFFFFF"/>
            <w:vAlign w:val="center"/>
          </w:tcPr>
          <w:p>
            <w:pPr>
              <w:jc w:val="center"/>
            </w:pPr>
            <w:r>
              <w:rPr>
                <w:sz w:val="18"/>
              </w:rPr>
              <w:t xml:space="preserve">0,9549 ★</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0,4501</w:t>
            </w:r>
          </w:p>
        </w:tc>
        <w:tc>
          <w:tcPr>
            <w:tcW w:w="1304" w:type="dxa"/>
            <w:shd w:val="clear" w:color="auto" w:fill="EBF3FB"/>
            <w:vAlign w:val="center"/>
          </w:tcPr>
          <w:p>
            <w:pPr>
              <w:jc w:val="center"/>
            </w:pPr>
            <w:r>
              <w:rPr>
                <w:sz w:val="18"/>
              </w:rPr>
              <w:t xml:space="preserve">0,831</w:t>
            </w:r>
          </w:p>
        </w:tc>
        <w:tc>
          <w:tcPr>
            <w:tcW w:w="1417" w:type="dxa"/>
            <w:shd w:val="clear" w:color="auto" w:fill="EBF3FB"/>
            <w:vAlign w:val="center"/>
          </w:tcPr>
          <w:p>
            <w:pPr>
              <w:jc w:val="center"/>
            </w:pPr>
            <w:r>
              <w:rPr>
                <w:sz w:val="18"/>
              </w:rPr>
              <w:t xml:space="preserve">0,893 ★</w:t>
            </w:r>
          </w:p>
        </w:tc>
        <w:tc>
          <w:tcPr>
            <w:tcW w:w="1530"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0,4218</w:t>
            </w:r>
          </w:p>
        </w:tc>
        <w:tc>
          <w:tcPr>
            <w:tcW w:w="1304" w:type="dxa"/>
            <w:shd w:val="clear" w:color="auto" w:fill="FFFFFF"/>
            <w:vAlign w:val="center"/>
          </w:tcPr>
          <w:p>
            <w:pPr>
              <w:jc w:val="center"/>
            </w:pPr>
            <w:r>
              <w:rPr>
                <w:sz w:val="18"/>
              </w:rPr>
              <w:t xml:space="preserve">0,817</w:t>
            </w:r>
          </w:p>
        </w:tc>
        <w:tc>
          <w:tcPr>
            <w:tcW w:w="1417" w:type="dxa"/>
            <w:shd w:val="clear" w:color="auto" w:fill="FFFFFF"/>
            <w:vAlign w:val="center"/>
          </w:tcPr>
          <w:p>
            <w:pPr>
              <w:jc w:val="center"/>
            </w:pPr>
            <w:r>
              <w:rPr>
                <w:sz w:val="18"/>
              </w:rPr>
              <w:t xml:space="preserve">0,884</w:t>
            </w:r>
          </w:p>
        </w:tc>
        <w:tc>
          <w:tcPr>
            <w:tcW w:w="1530" w:type="dxa"/>
            <w:shd w:val="clear" w:color="auto" w:fill="FFFFFF"/>
            <w:vAlign w:val="center"/>
          </w:tcPr>
          <w:p>
            <w:pPr>
              <w:jc w:val="center"/>
            </w:pPr>
            <w:r>
              <w:rPr>
                <w:sz w:val="18"/>
              </w:rPr>
              <w:t xml:space="preserve">0,9463</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0,4623</w:t>
            </w:r>
          </w:p>
        </w:tc>
        <w:tc>
          <w:tcPr>
            <w:tcW w:w="1304" w:type="dxa"/>
            <w:shd w:val="clear" w:color="auto" w:fill="EBF3FB"/>
            <w:vAlign w:val="center"/>
          </w:tcPr>
          <w:p>
            <w:pPr>
              <w:jc w:val="center"/>
            </w:pPr>
            <w:r>
              <w:rPr>
                <w:sz w:val="18"/>
              </w:rPr>
              <w:t xml:space="preserve">0,834 ★</w:t>
            </w:r>
          </w:p>
        </w:tc>
        <w:tc>
          <w:tcPr>
            <w:tcW w:w="1417" w:type="dxa"/>
            <w:shd w:val="clear" w:color="auto" w:fill="EBF3FB"/>
            <w:vAlign w:val="center"/>
          </w:tcPr>
          <w:p>
            <w:pPr>
              <w:jc w:val="center"/>
            </w:pPr>
            <w:r>
              <w:rPr>
                <w:sz w:val="18"/>
              </w:rPr>
              <w:t xml:space="preserve">0,880</w:t>
            </w:r>
          </w:p>
        </w:tc>
        <w:tc>
          <w:tcPr>
            <w:tcW w:w="1530" w:type="dxa"/>
            <w:shd w:val="clear" w:color="auto" w:fill="EBF3FB"/>
            <w:vAlign w:val="center"/>
          </w:tcPr>
          <w:p>
            <w:pPr>
              <w:jc w:val="center"/>
            </w:pPr>
            <w:r>
              <w:rPr>
                <w:sz w:val="18"/>
              </w:rPr>
              <w:t xml:space="preserve">0,9453</w:t>
            </w:r>
          </w:p>
        </w:tc>
      </w:tr>
      <w:tr>
        <w:trPr/>
        <w:tc>
          <w:tcPr>
            <w:tcW w:w="215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0,4387</w:t>
            </w:r>
          </w:p>
        </w:tc>
        <w:tc>
          <w:tcPr>
            <w:tcW w:w="1304" w:type="dxa"/>
            <w:shd w:val="clear" w:color="auto" w:fill="FFFFFF"/>
            <w:vAlign w:val="center"/>
          </w:tcPr>
          <w:p>
            <w:pPr>
              <w:jc w:val="center"/>
            </w:pPr>
            <w:r>
              <w:rPr>
                <w:sz w:val="18"/>
              </w:rPr>
              <w:t xml:space="preserve">0,812</w:t>
            </w:r>
          </w:p>
        </w:tc>
        <w:tc>
          <w:tcPr>
            <w:tcW w:w="1417" w:type="dxa"/>
            <w:shd w:val="clear" w:color="auto" w:fill="FFFFFF"/>
            <w:vAlign w:val="center"/>
          </w:tcPr>
          <w:p>
            <w:pPr>
              <w:jc w:val="center"/>
            </w:pPr>
            <w:r>
              <w:rPr>
                <w:sz w:val="18"/>
              </w:rPr>
              <w:t xml:space="preserve">0,871</w:t>
            </w:r>
          </w:p>
        </w:tc>
        <w:tc>
          <w:tcPr>
            <w:tcW w:w="1530"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0,3912</w:t>
            </w:r>
          </w:p>
        </w:tc>
        <w:tc>
          <w:tcPr>
            <w:tcW w:w="1304" w:type="dxa"/>
            <w:shd w:val="clear" w:color="auto" w:fill="EBF3FB"/>
            <w:vAlign w:val="center"/>
          </w:tcPr>
          <w:p>
            <w:pPr>
              <w:jc w:val="center"/>
            </w:pPr>
            <w:r>
              <w:rPr>
                <w:sz w:val="18"/>
              </w:rPr>
              <w:t xml:space="preserve">0,799</w:t>
            </w:r>
          </w:p>
        </w:tc>
        <w:tc>
          <w:tcPr>
            <w:tcW w:w="1417" w:type="dxa"/>
            <w:shd w:val="clear" w:color="auto" w:fill="EBF3FB"/>
            <w:vAlign w:val="center"/>
          </w:tcPr>
          <w:p>
            <w:pPr>
              <w:jc w:val="center"/>
            </w:pPr>
            <w:r>
              <w:rPr>
                <w:sz w:val="18"/>
              </w:rPr>
              <w:t xml:space="preserve">0,901</w:t>
            </w:r>
          </w:p>
        </w:tc>
        <w:tc>
          <w:tcPr>
            <w:tcW w:w="1530"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0,4714</w:t>
            </w:r>
          </w:p>
        </w:tc>
        <w:tc>
          <w:tcPr>
            <w:tcW w:w="1304" w:type="dxa"/>
            <w:shd w:val="clear" w:color="auto" w:fill="FFFFFF"/>
            <w:vAlign w:val="center"/>
          </w:tcPr>
          <w:p>
            <w:pPr>
              <w:jc w:val="center"/>
            </w:pPr>
            <w:r>
              <w:rPr>
                <w:sz w:val="18"/>
              </w:rPr>
              <w:t xml:space="preserve">0,820</w:t>
            </w:r>
          </w:p>
        </w:tc>
        <w:tc>
          <w:tcPr>
            <w:tcW w:w="1417" w:type="dxa"/>
            <w:shd w:val="clear" w:color="auto" w:fill="FFFFFF"/>
            <w:vAlign w:val="center"/>
          </w:tcPr>
          <w:p>
            <w:pPr>
              <w:jc w:val="center"/>
            </w:pPr>
            <w:r>
              <w:rPr>
                <w:sz w:val="18"/>
              </w:rPr>
              <w:t xml:space="preserve">0,858</w:t>
            </w:r>
          </w:p>
        </w:tc>
        <w:tc>
          <w:tcPr>
            <w:tcW w:w="1530" w:type="dxa"/>
            <w:shd w:val="clear" w:color="auto" w:fill="FFFFFF"/>
            <w:vAlign w:val="center"/>
          </w:tcPr>
          <w:p>
            <w:pPr>
              <w:jc w:val="center"/>
            </w:pPr>
            <w:r>
              <w:rPr>
                <w:sz w:val="18"/>
              </w:rPr>
              <w:t xml:space="preserve">0,9356</w:t>
            </w:r>
          </w:p>
        </w:tc>
      </w:tr>
      <w:tr>
        <w:trPr/>
        <w:tc>
          <w:tcPr>
            <w:tcW w:w="215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0,822</w:t>
            </w:r>
          </w:p>
        </w:tc>
        <w:tc>
          <w:tcPr>
            <w:tcW w:w="1417" w:type="dxa"/>
            <w:shd w:val="clear" w:color="auto" w:fill="EBF3FB"/>
            <w:vAlign w:val="center"/>
          </w:tcPr>
          <w:p>
            <w:pPr>
              <w:jc w:val="center"/>
            </w:pPr>
            <w:r>
              <w:rPr>
                <w:sz w:val="18"/>
              </w:rPr>
              <w:t xml:space="preserve">0,847</w:t>
            </w:r>
          </w:p>
        </w:tc>
        <w:tc>
          <w:tcPr>
            <w:tcW w:w="1530" w:type="dxa"/>
            <w:shd w:val="clear" w:color="auto" w:fill="EBF3FB"/>
            <w:vAlign w:val="center"/>
          </w:tcPr>
          <w:p>
            <w:pPr>
              <w:jc w:val="center"/>
            </w:pPr>
            <w:r>
              <w:rPr>
                <w:sz w:val="18"/>
              </w:rPr>
              <w:t xml:space="preserve">0,9347</w:t>
            </w:r>
          </w:p>
        </w:tc>
      </w:tr>
      <w:tr>
        <w:trPr/>
        <w:tc>
          <w:tcPr>
            <w:tcW w:w="215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0,4289</w:t>
            </w:r>
          </w:p>
        </w:tc>
        <w:tc>
          <w:tcPr>
            <w:tcW w:w="1304" w:type="dxa"/>
            <w:shd w:val="clear" w:color="auto" w:fill="FFFFFF"/>
            <w:vAlign w:val="center"/>
          </w:tcPr>
          <w:p>
            <w:pPr>
              <w:jc w:val="center"/>
            </w:pPr>
            <w:r>
              <w:rPr>
                <w:sz w:val="18"/>
              </w:rPr>
              <w:t xml:space="preserve">0,808</w:t>
            </w:r>
          </w:p>
        </w:tc>
        <w:tc>
          <w:tcPr>
            <w:tcW w:w="1417" w:type="dxa"/>
            <w:shd w:val="clear" w:color="auto" w:fill="FFFFFF"/>
            <w:vAlign w:val="center"/>
          </w:tcPr>
          <w:p>
            <w:pPr>
              <w:jc w:val="center"/>
            </w:pPr>
            <w:r>
              <w:rPr>
                <w:sz w:val="18"/>
              </w:rPr>
              <w:t xml:space="preserve">0,853</w:t>
            </w:r>
          </w:p>
        </w:tc>
        <w:tc>
          <w:tcPr>
            <w:tcW w:w="1530" w:type="dxa"/>
            <w:shd w:val="clear" w:color="auto" w:fill="FFFFFF"/>
            <w:vAlign w:val="center"/>
          </w:tcPr>
          <w:p>
            <w:pPr>
              <w:jc w:val="center"/>
            </w:pPr>
            <w:r>
              <w:rPr>
                <w:sz w:val="18"/>
              </w:rPr>
              <w:t xml:space="preserve">0,9258</w:t>
            </w:r>
          </w:p>
        </w:tc>
      </w:tr>
      <w:tr>
        <w:trPr/>
        <w:tc>
          <w:tcPr>
            <w:tcW w:w="215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0,742</w:t>
            </w:r>
          </w:p>
        </w:tc>
        <w:tc>
          <w:tcPr>
            <w:tcW w:w="1417" w:type="dxa"/>
            <w:shd w:val="clear" w:color="auto" w:fill="EBF3FB"/>
            <w:vAlign w:val="center"/>
          </w:tcPr>
          <w:p>
            <w:pPr>
              <w:jc w:val="center"/>
            </w:pPr>
            <w:r>
              <w:rPr>
                <w:sz w:val="18"/>
              </w:rPr>
              <w:t xml:space="preserve">0,757</w:t>
            </w:r>
          </w:p>
        </w:tc>
        <w:tc>
          <w:tcPr>
            <w:tcW w:w="1530" w:type="dxa"/>
            <w:shd w:val="clear" w:color="auto" w:fill="EBF3FB"/>
            <w:vAlign w:val="center"/>
          </w:tcPr>
          <w:p>
            <w:pPr>
              <w:jc w:val="center"/>
            </w:pPr>
            <w:r>
              <w:rPr>
                <w:sz w:val="18"/>
              </w:rPr>
              <w:t xml:space="preserve">0,8511</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0,4891</w:t>
            </w:r>
          </w:p>
        </w:tc>
        <w:tc>
          <w:tcPr>
            <w:tcW w:w="1304" w:type="dxa"/>
            <w:shd w:val="clear" w:color="auto" w:fill="FFFFFF"/>
            <w:vAlign w:val="center"/>
          </w:tcPr>
          <w:p>
            <w:pPr>
              <w:jc w:val="center"/>
            </w:pPr>
            <w:r>
              <w:rPr>
                <w:sz w:val="18"/>
              </w:rPr>
              <w:t xml:space="preserve">0,721</w:t>
            </w:r>
          </w:p>
        </w:tc>
        <w:tc>
          <w:tcPr>
            <w:tcW w:w="1417" w:type="dxa"/>
            <w:shd w:val="clear" w:color="auto" w:fill="FFFFFF"/>
            <w:vAlign w:val="center"/>
          </w:tcPr>
          <w:p>
            <w:pPr>
              <w:jc w:val="center"/>
            </w:pPr>
            <w:r>
              <w:rPr>
                <w:sz w:val="18"/>
              </w:rPr>
              <w:t xml:space="preserve">0,742</w:t>
            </w:r>
          </w:p>
        </w:tc>
        <w:tc>
          <w:tcPr>
            <w:tcW w:w="1530" w:type="dxa"/>
            <w:shd w:val="clear" w:color="auto" w:fill="FFFFFF"/>
            <w:vAlign w:val="center"/>
          </w:tcPr>
          <w:p>
            <w:pPr>
              <w:jc w:val="center"/>
            </w:pPr>
            <w:r>
              <w:rPr>
                <w:sz w:val="18"/>
              </w:rPr>
              <w:t xml:space="preserve">0,8442</w:t>
            </w:r>
          </w:p>
        </w:tc>
      </w:tr>
    </w:tbl>
    <w:p>
      <w:pPr>
        <w:pStyle w:val="ekilYazs"/>
        <w:jc w:val="center"/>
      </w:pPr>
      <w:r>
        <w:rPr>
          <w:b/>
        </w:rPr>
        <w:t xml:space="preserve">Çizelge 4.2. Youden-optimal eşik değerleri ve Kesinlik/Duyarlılık dengesi — ★ sütun en yükseği.</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Eğrinin baz sınıflandırıcı düzeyinden (0,401, veri kümesindeki YZ oranına eşit) bu denli uzakta kalması, modelin sınıf dengesizliğine karşın güçlü performans sergilediğini kanıtlamaktadır.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çıkarılan yorumsal sonuçlar şunlardır: spectral_flatness_std ve spectral_contrast_mean üst sıralarda yer almakta; her iki öznitelik de spektral yapının ne kadar "homojen" olduğunu farklı açılardan ölçmektedir. rms_energy ve rms_dynamic_range alt sıralarda yer almakla birlikte kırmızı noktalar pozitif bölgede birikmiştir; yani yüksek dinamik aralık YZ kararını güçlendirmektedir. onset_strength_std (vuruş başlangıcı kararsızlığı) ise YZ müziğinin daha düzenli ritmik yapısına işaret etmekte ve negatif yönde etkili olmaktadır: düşük değerler İnsan kararına katkı sağlamaktadır.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LightGBM performansı — 5 katlı CV dışında tutulan tahminlerden hesaplanmıştır.</w:t>
      </w:r>
    </w:p>
    <w:p>
      <w:pPr>
        <w:pStyle w:val="PARAGRAFMETN"/>
      </w:pPr>
      <w:r>
        <w:t xml:space="preserve">Deepfake setinin 0,500 gibi rastgele tahmin düzeyinde kalması dikkat çekicidir. Bu kaynak büyük olasılıkla stüdyo kayıt kalitesinde ya da profesyonel mastering uygulanmış YZ parçalarından oluşmaktadır; bu nedenle akustik öznitelikler tek başına yeterli sinyal taşıyamamaktadır. Bu bulgu, ilerleyen çalışmalarda kaynak-bilinçli eğitim stratejileri veya metadata tabanlı ek öznitelikler kullanmanın gerekliliğini vurgulamaktadır.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ile paralel biçimde bu bulgu [1],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 çapraz-üretici genellemenin alanın temel açık problemi olduğunu vurgulamakta [2];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[1] öznitelik tabanlı yaklaşımların ham ses tabanlı modellere yakın performans sağlayabildiğini deneysel olarak ortaya koymuştur; AURIS bu bulguyu MO-DÖ yakınsaması (0,0012 AUC farkı) ile bağımsız biçimde doğrulamaktadır. Kosta vd. [10] müzik yapısal analiz yöntemiyle yüksek performans rapor etmiştir; ancak o yaklaşım segment düzeyinde dönüşümcü (transformer) mimarisi gerektirmekte ve açık erişimli değildir. Bhatt vd.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[1]</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[10]</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eğitim setindeki doğruluğuyla orantılıdır; bu yaklaşım yüksek doğruluklu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büyük dil modelinin öğrenilmiş temsilleri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D. Afchar, G. Meseguer Brocal ve R. Hennequin, "AI-Generated Music Detection and Its Challenges," içinde Proc. IEEE Int. Conf. Acoustics, Speech and Signal Processing (ICASSP), Hyderabad, Hindistan, 2025. doi: 10.48550/arXiv.2501.10111</w:t>
      </w:r>
    </w:p>
    <w:p>
      <w:pPr>
        <w:pStyle w:val="Normal"/>
      </w:pPr>
      <w:r>
        <w:t xml:space="preserve">[2]	A. Bhatt, A. Rajan, A. Goel ve M. Gupta, "AI-Generated Music Detection: A Survey of Methods and Datasets," arXiv:2502.04668, 2025.</w:t>
      </w:r>
    </w:p>
    <w:p>
      <w:pPr>
        <w:pStyle w:val="Normal"/>
      </w:pPr>
      <w:r>
        <w:t xml:space="preserve">[3]	Y. Liu, X. Tan, S. Li, X. Chen, Y. Zhao ve T. Qian, "From Audio Deepfake Detection to AI-Generated Music Detection: A Pathway and Overview," arXiv:2412.00571, 2024.</w:t>
      </w:r>
    </w:p>
    <w:p>
      <w:pPr>
        <w:pStyle w:val="Normal"/>
      </w:pPr>
      <w:r>
        <w:t xml:space="preserve">[4]	P. Dhariwal, H. Jun, C. Payne, J. W. Kim, A. Radford ve I. Sutskever, "Jukebox: A Generative Model for Music," arXiv:2005.00341, 2020.</w:t>
      </w:r>
    </w:p>
    <w:p>
      <w:pPr>
        <w:pStyle w:val="Normal"/>
      </w:pPr>
      <w:r>
        <w:t xml:space="preserve">[5]	J. Copet, F. Kreuk, I. Gat, T. Remez, D. Kant, G. Synnaeve, Y. Adi ve A. Défossez, "Simple and Controllable Music Generation," içinde Advances in Neural Information Processing Systems (NeurIPS), c. 36, ss. 47704–47720, 2023.</w:t>
      </w:r>
    </w:p>
    <w:p>
      <w:pPr>
        <w:pStyle w:val="Normal"/>
      </w:pPr>
      <w:r>
        <w:t xml:space="preserve">[6]	H. Liu, Z. Chen, Y. Yuan, X. Mei, X. Liu, D. Mandic, W. Wang ve M. D. Plumbley, "AudioLDM: Text-to-Audio Generation with Latent Diffusion Models," içinde Proc. Int. Conf. Machine Learning (ICML), Honolulu, ABD, 2023.</w:t>
      </w:r>
    </w:p>
    <w:p>
      <w:pPr>
        <w:pStyle w:val="Normal"/>
      </w:pPr>
      <w:r>
        <w:t xml:space="preserve">[7]	J. Frank ve L. Schönherr, "WaveFake: A Data Set to Facilitate Audio Deepfake Detection," içinde NeurIPS 2021 Datasets and Benchmarks Track, 2021.</w:t>
      </w:r>
    </w:p>
    <w:p>
      <w:pPr>
        <w:pStyle w:val="Normal"/>
      </w:pPr>
      <w:r>
        <w:t xml:space="preserve">[8]	J. Yi, R. Fu, J. Tao, S. Nie, H. Ma, C. Wang ve diğerleri, "ADD 2022: The First Audio Deep Synthesis Detection Challenge," içinde Proc. IEEE Int. Conf. Acoustics, Speech and Signal Processing (ICASSP), Singapore, 2022, ss. 9216–9220.</w:t>
      </w:r>
    </w:p>
    <w:p>
      <w:pPr>
        <w:pStyle w:val="Normal"/>
      </w:pPr>
      <w:r>
        <w:t xml:space="preserve">[9]	J. M. Martín-Doñas ve A. Álvarez, "The Vicomtech Audio Deepfake Detection System Based on Wav2vec2 for the 2022 ADD Challenge," içinde Proc. IEEE Int. Conf. Acoustics, Speech and Signal Processing (ICASSP), Singapore, 2022, ss. 9266–9270.</w:t>
      </w:r>
    </w:p>
    <w:p>
      <w:pPr>
        <w:pStyle w:val="Normal"/>
      </w:pPr>
      <w:r>
        <w:t xml:space="preserve">[10]	K. Kosta, G. Meseguer Brocal, D. Afchar ve R. Hennequin, "Segment Transformer: AI-Generated Music Detection via Music Structural Analysis," arXiv:2409.08283, 2024.</w:t>
      </w:r>
    </w:p>
    <w:p>
      <w:pPr>
        <w:pStyle w:val="Normal"/>
      </w:pPr>
      <w:r>
        <w:t xml:space="preserve">[11]	A. Baevski, Y. Zhou, A. Mohamed ve M. Auli, "wav2vec 2.0: A Framework for Self-Supervised Learning of Speech Representations," içinde Advances in Neural Information Processing Systems (NeurIPS), c. 33, ss. 12449–12460, 2020.</w:t>
      </w:r>
    </w:p>
    <w:p>
      <w:pPr>
        <w:pStyle w:val="Normal"/>
      </w:pPr>
      <w:r>
        <w:t xml:space="preserve">[12]	B. Elizalde, S. Deshmukh, M. Al Ismail ve H. Wang, "CLAP: Learning Audio Concepts from Natural Language Supervision," içinde Proc. IEEE Int. Conf. Acoustics, Speech and Signal Processing (ICASSP), Rhodes Island, Yunanistan, 2023, ss. 1–5.</w:t>
      </w:r>
    </w:p>
    <w:p>
      <w:pPr>
        <w:pStyle w:val="Normal"/>
      </w:pPr>
      <w:r>
        <w:t xml:space="preserve">[13]	Y. Wu, K. Chen, T. Zhang, Y. Hui, T. Berg-Kirkpatrick ve S. Dubnov, "Large-Scale Contrastive Language-Audio Pretraining with Feature Fusion," içinde Proc. IEEE Int. Conf. Acoustics, Speech and Signal Processing (ICASSP), Rhodes Island, Yunanistan, 2023.</w:t>
      </w:r>
    </w:p>
    <w:p>
      <w:pPr>
        <w:pStyle w:val="Normal"/>
      </w:pPr>
      <w:r>
        <w:t xml:space="preserve">[14]	M. K. Gourisaria, R. Agrawal ve M. Sahni, "Comparative Analysis of Audio Classification with MFCC and STFT Features Using Machine Learning Techniques," Discover Internet of Things, c. 4, makale no. 6, 2024.</w:t>
      </w:r>
    </w:p>
    <w:p>
      <w:pPr>
        <w:pStyle w:val="Normal"/>
      </w:pPr>
      <w:r>
        <w:t xml:space="preserve">[15]	D. Kostrzewa, W. Mazur ve R. Brzeski, "Wide Ensembles of Neural Networks in Music Genre Classification," içinde Proc. Int. Conf. Multimedia Information Systems and Security Intelligence (MISSI), Springer, 2022, ss. 91–102.</w:t>
      </w:r>
    </w:p>
    <w:p>
      <w:pPr>
        <w:pStyle w:val="Normal"/>
      </w:pPr>
      <w:r>
        <w:t xml:space="preserve">[16]	R. Gan, T. Huang, J. Shao ve F. Wang, "Music Genre Classification Based on VMD-IWOA-XGBoost," Mathematics, c. 12, sayı 10, makale no. 1549, 2024. doi: 10.3390/math12101549</w:t>
      </w:r>
    </w:p>
    <w:p>
      <w:pPr>
        <w:pStyle w:val="Normal"/>
      </w:pPr>
      <w:r>
        <w:t xml:space="preserve">[17]	Y. Liu, Y. Yin, Q. Zhu ve W. Cui, "Musical Instrument Recognition by XGBoost Combining Feature Fusion," arXiv:2206.00901, 2022.</w:t>
      </w:r>
    </w:p>
    <w:p>
      <w:pPr>
        <w:pStyle w:val="Normal"/>
      </w:pPr>
      <w:r>
        <w:t xml:space="preserve">[18]	B. McFee, C. Raffel, D. Liang, D. P. W. Ellis, M. McVicar, E. Battenberg ve O. Nieto, "librosa: Audio and Music Signal Analysis in Python," içinde Proc. 14th Python in Science Conf. (SciPy), Austin, ABD, 2015, ss. 18–25.</w:t>
      </w:r>
    </w:p>
    <w:p>
      <w:pPr>
        <w:pStyle w:val="Normal"/>
      </w:pPr>
      <w:r>
        <w:t xml:space="preserve">[19]	F. Pedregosa, G. Varoquaux, A. Gramfort, V. Michel, B. Thirion, O. Grisel ve diğerleri, "Scikit-learn: Machine Learning in Python," Journal of Machine Learning Research, c. 12, ss. 2825–2830, 2011.</w:t>
      </w:r>
    </w:p>
    <w:p>
      <w:pPr>
        <w:pStyle w:val="Normal"/>
      </w:pPr>
      <w:r>
        <w:t xml:space="preserve">[20]	T. Chen ve C. Guestrin, "XGBoost: A Scalable Tree Boosting System," içinde Proc. 22nd ACM SIGKDD Int. Conf. Knowledge Discovery and Data Mining, San Francisco, ABD, 2016, ss. 785–794.</w:t>
      </w:r>
    </w:p>
    <w:p>
      <w:pPr>
        <w:pStyle w:val="Normal"/>
      </w:pPr>
      <w:r>
        <w:t xml:space="preserve">[21]	G. Ke, Q. Meng, T. Finley, T. Wang, W. Chen, W. Ma, Q. Ye ve T. Liu, "LightGBM: A Highly Efficient Gradient Boosting Decision Tree," içinde Advances in Neural Information Processing Systems (NeurIPS), c. 30, 2017.</w:t>
      </w:r>
    </w:p>
    <w:p>
      <w:pPr>
        <w:pStyle w:val="Normal"/>
      </w:pPr>
      <w:r>
        <w:t xml:space="preserve">[22]	A. Paszke ve diğerleri, "PyTorch: An Imperative Style, High-Performance Deep Learning Library," içinde Advances in Neural Information Processing Systems (NeurIPS), c. 32, 2019.</w:t>
      </w:r>
    </w:p>
    <w:p>
      <w:pPr>
        <w:pStyle w:val="Normal"/>
      </w:pPr>
      <w:r>
        <w:t xml:space="preserve">[23]	S. M. Lundberg ve S. I. Lee, "A Unified Approach to Interpreting Model Predictions," içinde Advances in Neural Information Processing Systems (NeurIPS), c. 30, 2017.</w:t>
      </w:r>
    </w:p>
    <w:p>
      <w:pPr>
        <w:pStyle w:val="Normal"/>
      </w:pPr>
      <w:r>
        <w:t xml:space="preserve">[24]	J. Yi, C. Wang, J. Tao, X. Zhang, C. Y. Zhang ve Y. Zhao, "Audio Deepfake Detection: A Survey," arXiv:2308.14970, 2023.</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başvurusu yapılmıştır.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