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i w:val="0"/>
          <w:color w:val="333333"/>
          <w:sz w:val="28"/>
        </w:rPr>
        <w:t>AURIS: Çoklu-Model Topluluk Yaklaşımı ile Yapay Zekâ Tarafından Üretilen Müziklerin Tespiti</w:t>
      </w:r>
    </w:p>
    <w:p>
      <w:pPr>
        <w:spacing w:after="40"/>
        <w:jc w:val="center"/>
      </w:pPr>
      <w:r>
        <w:rPr>
          <w:rFonts w:ascii="Times New Roman" w:hAnsi="Times New Roman" w:cs="Times New Roman" w:eastAsia="Times New Roman"/>
          <w:b/>
          <w:i w:val="0"/>
          <w:color w:val="333333"/>
          <w:sz w:val="20"/>
        </w:rPr>
        <w:t>Hasan Arthur Altuntaş*</w:t>
      </w:r>
    </w:p>
    <w:p>
      <w:pPr>
        <w:spacing w:after="40"/>
        <w:jc w:val="center"/>
      </w:pPr>
      <w:r>
        <w:rPr>
          <w:rFonts w:ascii="Times New Roman" w:hAnsi="Times New Roman" w:cs="Times New Roman" w:eastAsia="Times New Roman"/>
          <w:b w:val="0"/>
          <w:i/>
          <w:color w:val="333333"/>
          <w:sz w:val="18"/>
        </w:rPr>
        <w:t>Düzce Üniversitesi, Mühendislik Fakültesi, Bilgisayar Mühendisliği Bölümü, 81620, Düzce, Türkiye</w:t>
      </w:r>
    </w:p>
    <w:p>
      <w:pPr>
        <w:spacing w:after="40"/>
        <w:jc w:val="center"/>
      </w:pPr>
      <w:r>
        <w:rPr>
          <w:rFonts w:ascii="Times New Roman" w:hAnsi="Times New Roman" w:cs="Times New Roman" w:eastAsia="Times New Roman"/>
          <w:b w:val="0"/>
          <w:i w:val="0"/>
          <w:color w:val="333333"/>
          <w:sz w:val="18"/>
        </w:rPr>
        <w:t>ORCID: 0009-0002-8302-7657</w:t>
      </w:r>
    </w:p>
    <w:p>
      <w:pPr>
        <w:spacing w:after="320"/>
        <w:jc w:val="center"/>
      </w:pPr>
      <w:r>
        <w:rPr>
          <w:rFonts w:ascii="Times New Roman" w:hAnsi="Times New Roman" w:cs="Times New Roman" w:eastAsia="Times New Roman"/>
          <w:b w:val="0"/>
          <w:i/>
          <w:color w:val="333333"/>
          <w:sz w:val="18"/>
        </w:rPr>
        <w:t>*Sorumlu Yazar / Corresponding Author: hasannarthurrr@gmail.com</w:t>
      </w:r>
    </w:p>
    <w:p>
      <w:pPr>
        <w:spacing w:before="160" w:after="40" w:line="360" w:lineRule="auto"/>
        <w:jc w:val="left"/>
        <w:keepNext/>
      </w:pPr>
      <w:r>
        <w:rPr>
          <w:rFonts w:ascii="Times New Roman" w:hAnsi="Times New Roman" w:cs="Times New Roman" w:eastAsia="Times New Roman"/>
          <w:b/>
          <w:i/>
          <w:color w:val="333333"/>
          <w:sz w:val="18"/>
        </w:rPr>
        <w:t>Ö N E   Ç I K A N L A R</w:t>
      </w:r>
    </w:p>
    <w:p>
      <w:pPr>
        <w:spacing w:after="60"/>
        <w:ind w:left="283"/>
      </w:pPr>
      <w:r>
        <w:rPr>
          <w:rFonts w:ascii="Times New Roman" w:hAnsi="Times New Roman" w:cs="Times New Roman" w:eastAsia="Times New Roman"/>
          <w:b w:val="0"/>
          <w:i w:val="0"/>
          <w:color w:val="333333"/>
          <w:sz w:val="18"/>
        </w:rPr>
        <w:t>• 5.195 müzik örneği ve 47 boyutlu akustik öznitelik vektörü ile yapay zekâ tarafından üretilen müziği insan kompozisyonundan ayırt eden uçtan-uca bir sistem önerilmiştir.</w:t>
      </w:r>
    </w:p>
    <w:p>
      <w:pPr>
        <w:spacing w:after="60"/>
        <w:ind w:left="283"/>
      </w:pPr>
      <w:r>
        <w:rPr>
          <w:rFonts w:ascii="Times New Roman" w:hAnsi="Times New Roman" w:cs="Times New Roman" w:eastAsia="Times New Roman"/>
          <w:b w:val="0"/>
          <w:i w:val="0"/>
          <w:color w:val="333333"/>
          <w:sz w:val="18"/>
        </w:rPr>
        <w:t>• Yedi makine öğrenmesi ve dört derin öğrenme algoritması, ortak bir 5-katlı çapraz doğrulama protokolü altında karşılaştırılmıştır.</w:t>
      </w:r>
    </w:p>
    <w:p>
      <w:pPr>
        <w:spacing w:after="60"/>
        <w:ind w:left="283"/>
      </w:pPr>
      <w:r>
        <w:rPr>
          <w:rFonts w:ascii="Times New Roman" w:hAnsi="Times New Roman" w:cs="Times New Roman" w:eastAsia="Times New Roman"/>
          <w:b w:val="0"/>
          <w:i w:val="0"/>
          <w:color w:val="333333"/>
          <w:sz w:val="18"/>
        </w:rPr>
        <w:t>• LightGBM, %95,48 ROC-AUC değeri ile en yüksek performansı sergilemiş; her kat arasında yalnızca ±0,0023 standart sapma ile en kararlı modeli oluşturmuştur.</w:t>
      </w:r>
    </w:p>
    <w:p>
      <w:pPr>
        <w:spacing w:after="60"/>
        <w:ind w:left="283"/>
      </w:pPr>
      <w:r>
        <w:rPr>
          <w:rFonts w:ascii="Times New Roman" w:hAnsi="Times New Roman" w:cs="Times New Roman" w:eastAsia="Times New Roman"/>
          <w:b w:val="0"/>
          <w:i w:val="0"/>
          <w:color w:val="333333"/>
          <w:sz w:val="18"/>
        </w:rPr>
        <w:t>• Spektral düzlük (spectral flatness) standart sapması, yapay zekâ-insan ayrımı için en bilgilendirici tek öznitelik olarak tespit edilmiştir.</w:t>
      </w:r>
    </w:p>
    <w:p>
      <w:pPr>
        <w:spacing w:before="160" w:after="40" w:line="360" w:lineRule="auto"/>
        <w:jc w:val="left"/>
        <w:keepNext/>
      </w:pPr>
      <w:r>
        <w:rPr>
          <w:rFonts w:ascii="Times New Roman" w:hAnsi="Times New Roman" w:cs="Times New Roman" w:eastAsia="Times New Roman"/>
          <w:b/>
          <w:i/>
          <w:color w:val="333333"/>
          <w:sz w:val="18"/>
        </w:rPr>
        <w:t>Makale Bilgileri</w:t>
      </w:r>
    </w:p>
    <w:p>
      <w:pPr>
        <w:spacing w:line="360" w:lineRule="auto" w:before="0" w:after="120"/>
        <w:ind w:firstLine="283"/>
        <w:jc w:val="both"/>
      </w:pPr>
      <w:r>
        <w:rPr>
          <w:rFonts w:ascii="Times New Roman" w:hAnsi="Times New Roman" w:cs="Times New Roman" w:eastAsia="Times New Roman"/>
          <w:b w:val="0"/>
          <w:i w:val="0"/>
          <w:color w:val="333333"/>
          <w:sz w:val="18"/>
        </w:rPr>
        <w:t>Araştırma Makalesi  ·  Geliş: 20.05.2026  ·  Anahtar Kelimeler: Yapay zekâ tarafından üretilen müzik, derin öğrenme, gradyan artırma, topluluk öğrenmesi, ses sınıflandırması, spektral düzlük.</w:t>
      </w:r>
    </w:p>
    <w:p>
      <w:pPr>
        <w:spacing w:before="160" w:after="40" w:line="360" w:lineRule="auto"/>
        <w:jc w:val="left"/>
        <w:keepNext/>
      </w:pPr>
      <w:r>
        <w:rPr>
          <w:rFonts w:ascii="Times New Roman" w:hAnsi="Times New Roman" w:cs="Times New Roman" w:eastAsia="Times New Roman"/>
          <w:b/>
          <w:i/>
          <w:color w:val="333333"/>
          <w:sz w:val="18"/>
        </w:rPr>
        <w:t>ÖZ</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tabanlı metinden müziğe (text-to-music) üretim sistemlerinin -Suno, Udio ve MusicGen başta olmak üzere- son üç yıl içerisindeki hızlı yaygınlaşması, üretilen müzik parçalarının insan eliyle bestelenmiş kayıtlardan ayırt edilmesini bir tespit problemi olarak gündeme getirmiştir. Bu problem; telif hakkı atıflandırması, çevrimiçi akış platformlarının içerik bütünlüğü ve sanatçıların ekonomik hakları açısından önemli bir araştırma konusu hâline gelmiştir. Bu çalışmada, 47 boyutlu elle tasarlanmış bir akustik öznitelik vektörü ile yedi makine öğrenmesi (Machine Learning-ML) ve dört derin öğrenme (Deep Learning-DL) algoritmasından oluşan on bir modelli bir topluluk öğrenmesi yaklaşımını birleştiren AURIS adlı yenilikçi bir sistem önerilmektedir. Önerilen sistemin eğitimi ve değerlendirilmesi için, on iki veya daha fazla GenAI üretici sisteminden ve birden çok insan kaynağından (GTZAN, FMA, SleepyJesse kapakları) derlenen 5.195 örneklik halka açık bir veri kümesi kullanılmıştır. Önerilen sistem kapsamında değerlendirilen on bir model arasından LightGBM (Light Gradient Boosting Machine), %95,48 ROC-AUC değeri ve ±0,0023 standart sapma ile hem en yüksek ortalama hem de katlar-arası en düşük varyansı bir araya getirerek en başarılı sonucu elde etmiştir. Derin Çok Katmanlı Algılayıcı (Deep Multi-Layer Perceptron-DMLP) %95,42 ROC-AUC ile çok yakın bir ikinci sırayı almıştır. Spektral düzlük (spectral flatness) standart sapması özniteliği, öznitelik önem sıralamasında ilk sırayı belirgin bir farkla elde etmiştir. Youden'in J istatistiği ile optimize edilen θ* = 0,4316 karar eşiği, varsayılan 0,5 eşiğine kıyasla dengeli doğruluğu sistematik biçimde iyileştirmiştir. Brier skoru 0,083 olarak ölçülmüş ve önerilen modelin olasılık çıktılarının iyi kalibre olduğu doğrulanmıştır. Tanılayıcı analiz sonuçları, ağaç tabanlı tüm modellerin eğitim ve çapraz doğrulama doğrulukları arasında 8-14 puanlık bir fark sergilediğini ve mevcut 47 özniteliğin yaklaşık 17 tanesinin ölçülebilir bir ek doğruluk sağlamadığını ortaya koymuştur.</w:t>
      </w:r>
    </w:p>
    <w:p>
      <w:pPr>
        <w:spacing w:before="160" w:after="40" w:line="360" w:lineRule="auto"/>
        <w:jc w:val="left"/>
        <w:keepNext/>
      </w:pPr>
      <w:r>
        <w:rPr>
          <w:rFonts w:ascii="Times New Roman" w:hAnsi="Times New Roman" w:cs="Times New Roman" w:eastAsia="Times New Roman"/>
          <w:b/>
          <w:i/>
          <w:color w:val="333333"/>
          <w:sz w:val="18"/>
        </w:rPr>
        <w:t>Anahtar Kelimeler</w:t>
      </w:r>
    </w:p>
    <w:p>
      <w:pPr>
        <w:spacing w:line="360" w:lineRule="auto" w:before="0" w:after="120"/>
        <w:ind w:firstLine="283"/>
        <w:jc w:val="both"/>
      </w:pPr>
      <w:r>
        <w:rPr>
          <w:rFonts w:ascii="Times New Roman" w:hAnsi="Times New Roman" w:cs="Times New Roman" w:eastAsia="Times New Roman"/>
          <w:b w:val="0"/>
          <w:i w:val="0"/>
          <w:color w:val="333333"/>
          <w:sz w:val="18"/>
        </w:rPr>
        <w:t>Yapay zekâ tarafından üretilen müzik · Derin öğrenme · Gradyan artırma · Topluluk öğrenmesi · Ses sınıflandırması · Spektral düzlük</w:t>
      </w:r>
    </w:p>
    <w:p>
      <w:pPr>
        <w:spacing w:before="400" w:after="80"/>
        <w:jc w:val="center"/>
      </w:pPr>
      <w:r>
        <w:rPr>
          <w:rFonts w:ascii="Times New Roman" w:hAnsi="Times New Roman" w:cs="Times New Roman" w:eastAsia="Times New Roman"/>
          <w:b/>
          <w:i/>
          <w:color w:val="333333"/>
          <w:sz w:val="22"/>
        </w:rPr>
        <w:t>AURIS: A Multi-Model Ensemble Approach for the Detection of AI-Generated Music</w:t>
      </w:r>
    </w:p>
    <w:p>
      <w:pPr>
        <w:spacing w:before="160" w:after="40" w:line="360" w:lineRule="auto"/>
        <w:jc w:val="left"/>
        <w:keepNext/>
      </w:pPr>
      <w:r>
        <w:rPr>
          <w:rFonts w:ascii="Times New Roman" w:hAnsi="Times New Roman" w:cs="Times New Roman" w:eastAsia="Times New Roman"/>
          <w:b/>
          <w:i/>
          <w:color w:val="333333"/>
          <w:sz w:val="18"/>
        </w:rPr>
        <w:t>H I G H L I G H T S</w:t>
      </w:r>
    </w:p>
    <w:p>
      <w:pPr>
        <w:spacing w:after="60"/>
        <w:ind w:left="283"/>
      </w:pPr>
      <w:r>
        <w:rPr>
          <w:rFonts w:ascii="Times New Roman" w:hAnsi="Times New Roman" w:cs="Times New Roman" w:eastAsia="Times New Roman"/>
          <w:b w:val="0"/>
          <w:i/>
          <w:color w:val="333333"/>
          <w:sz w:val="18"/>
        </w:rPr>
        <w:t>• An end-to-end system distinguishing AI-generated music from human composition, using a 47-dimensional acoustic feature vector and 5,195 audio samples.</w:t>
      </w:r>
    </w:p>
    <w:p>
      <w:pPr>
        <w:spacing w:after="60"/>
        <w:ind w:left="283"/>
      </w:pPr>
      <w:r>
        <w:rPr>
          <w:rFonts w:ascii="Times New Roman" w:hAnsi="Times New Roman" w:cs="Times New Roman" w:eastAsia="Times New Roman"/>
          <w:b w:val="0"/>
          <w:i/>
          <w:color w:val="333333"/>
          <w:sz w:val="18"/>
        </w:rPr>
        <w:t>• Seven machine learning and four deep learning algorithms compared under a unified 5-fold cross-validation protocol.</w:t>
      </w:r>
    </w:p>
    <w:p>
      <w:pPr>
        <w:spacing w:after="60"/>
        <w:ind w:left="283"/>
      </w:pPr>
      <w:r>
        <w:rPr>
          <w:rFonts w:ascii="Times New Roman" w:hAnsi="Times New Roman" w:cs="Times New Roman" w:eastAsia="Times New Roman"/>
          <w:b w:val="0"/>
          <w:i/>
          <w:color w:val="333333"/>
          <w:sz w:val="18"/>
        </w:rPr>
        <w:t>• LightGBM achieves the top performance with 95.48% ROC-AUC and the lowest cross-fold variance (±0.0023) in the entire pool.</w:t>
      </w:r>
    </w:p>
    <w:p>
      <w:pPr>
        <w:spacing w:after="60"/>
        <w:ind w:left="283"/>
      </w:pPr>
      <w:r>
        <w:rPr>
          <w:rFonts w:ascii="Times New Roman" w:hAnsi="Times New Roman" w:cs="Times New Roman" w:eastAsia="Times New Roman"/>
          <w:b w:val="0"/>
          <w:i/>
          <w:color w:val="333333"/>
          <w:sz w:val="18"/>
        </w:rPr>
        <w:t>• Spectral flatness standard deviation emerges as the single most informative feature for the AI-versus-human distinction.</w:t>
      </w:r>
    </w:p>
    <w:p>
      <w:pPr>
        <w:spacing w:before="160" w:after="40" w:line="360" w:lineRule="auto"/>
        <w:jc w:val="left"/>
        <w:keepNext/>
      </w:pPr>
      <w:r>
        <w:rPr>
          <w:rFonts w:ascii="Times New Roman" w:hAnsi="Times New Roman" w:cs="Times New Roman" w:eastAsia="Times New Roman"/>
          <w:b/>
          <w:i/>
          <w:color w:val="333333"/>
          <w:sz w:val="18"/>
        </w:rPr>
        <w:t>ABSTRACT</w:t>
      </w:r>
    </w:p>
    <w:p>
      <w:pPr>
        <w:spacing w:line="360" w:lineRule="auto" w:before="0" w:after="120"/>
        <w:ind w:firstLine="283"/>
        <w:jc w:val="both"/>
      </w:pPr>
      <w:r>
        <w:rPr>
          <w:rFonts w:ascii="Times New Roman" w:hAnsi="Times New Roman" w:cs="Times New Roman" w:eastAsia="Times New Roman"/>
          <w:b w:val="0"/>
          <w:i w:val="0"/>
          <w:color w:val="333333"/>
          <w:sz w:val="18"/>
        </w:rPr>
        <w:t>The proliferation of text-to-music generators such as Suno, Udio and MusicGen has raised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or more AI generation systems and multiple human sources (GTZAN, FMA, SleepyJesse covers) under 5-fold cross-validation. LightGBM achieves the top ROC-AUC of 0.9548 (±0.0023), combining the best mean with the lowest cross-fold variance; Deep MLP follows narrowly at 0.9542. Spectral-flatness standard deviation ranks first in feature importance. A Youden-J optimised decision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spacing w:before="160" w:after="40" w:line="360" w:lineRule="auto"/>
        <w:jc w:val="left"/>
        <w:keepNext/>
      </w:pPr>
      <w:r>
        <w:rPr>
          <w:rFonts w:ascii="Times New Roman" w:hAnsi="Times New Roman" w:cs="Times New Roman" w:eastAsia="Times New Roman"/>
          <w:b/>
          <w:i/>
          <w:color w:val="333333"/>
          <w:sz w:val="18"/>
        </w:rPr>
        <w:t>Keywords</w:t>
      </w:r>
    </w:p>
    <w:p>
      <w:pPr>
        <w:spacing w:line="360" w:lineRule="auto" w:before="0" w:after="120"/>
        <w:ind w:firstLine="283"/>
        <w:jc w:val="both"/>
      </w:pPr>
      <w:r>
        <w:rPr>
          <w:rFonts w:ascii="Times New Roman" w:hAnsi="Times New Roman" w:cs="Times New Roman" w:eastAsia="Times New Roman"/>
          <w:b w:val="0"/>
          <w:i w:val="0"/>
          <w:color w:val="333333"/>
          <w:sz w:val="18"/>
        </w:rPr>
        <w:t>AI-generated music · Deep learning · Gradient boosting · Ensemble learning · Audio classification · Spectral flatness</w:t>
      </w:r>
    </w:p>
    <w:p>
      <w:pPr>
        <w:sectPr>
          <w:pgSz w:w="11906" w:h="16838"/>
          <w:pgMar w:top="1417" w:right="1417" w:bottom="1417" w:left="1417" w:header="720" w:footer="720" w:gutter="0"/>
          <w:cols w:space="720"/>
          <w:docGrid w:linePitch="360"/>
        </w:sectPr>
      </w:pPr>
    </w:p>
    <w:p>
      <w:pPr>
        <w:spacing w:before="240" w:after="80" w:line="360" w:lineRule="auto"/>
        <w:jc w:val="left"/>
        <w:keepNext/>
      </w:pPr>
      <w:r>
        <w:rPr>
          <w:rFonts w:ascii="Times New Roman" w:hAnsi="Times New Roman" w:cs="Times New Roman" w:eastAsia="Times New Roman"/>
          <w:b/>
          <w:i w:val="0"/>
          <w:color w:val="333333"/>
          <w:sz w:val="18"/>
        </w:rPr>
        <w:t>1. Giriş (Introduction)</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[5,6], alanın henüz oluşum aşamasında olduğunu belirtmekte ve üretici modeller arası genellemeyi -yani eğitim aşamasında görülmemiş sistemler tarafından üretilen parçaları doğru biçimde tespit edebilme yetisini- alanın birincil açık problemi olarak vurgulamaktadır [5].</w:t>
      </w:r>
    </w:p>
    <w:p>
      <w:pPr>
        <w:spacing w:line="360" w:lineRule="auto" w:before="0" w:after="120"/>
        <w:ind w:firstLine="283"/>
        <w:jc w:val="both"/>
      </w:pPr>
      <w:r>
        <w:rPr>
          <w:rFonts w:ascii="Times New Roman" w:hAnsi="Times New Roman" w:cs="Times New Roman" w:eastAsia="Times New Roman"/>
          <w:b w:val="0"/>
          <w:i w:val="0"/>
          <w:color w:val="333333"/>
          <w:sz w:val="18"/>
        </w:rPr>
        <w:t>Yakın tarihli iki örnek çalışma, bu alandaki dengesizliği açık biçimde yansıtmaktadır. Afchar vd. tarafından öne sürülen çalışmada [7], oto-kodlayıcı (auto-encoder)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 Her iki yaklaşım da aynı temel kabulü paylaşmaktadır: hiçbir tek öznitelik ailesi tek başına farklı üretici sistemlere karşı yeterince sağlam değildir.</w:t>
      </w:r>
    </w:p>
    <w:p>
      <w:pPr>
        <w:spacing w:line="360" w:lineRule="auto" w:before="0" w:after="120"/>
        <w:ind w:firstLine="283"/>
        <w:jc w:val="both"/>
      </w:pPr>
      <w:r>
        <w:rPr>
          <w:rFonts w:ascii="Times New Roman" w:hAnsi="Times New Roman" w:cs="Times New Roman" w:eastAsia="Times New Roman"/>
          <w:b w:val="0"/>
          <w:i w:val="0"/>
          <w:color w:val="333333"/>
          <w:sz w:val="18"/>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(𝑖) birden çok GenAI üreticisi sisteminde rekabetçi tespit doğruluğu elde edebilmek ve (𝑖𝑖) tüketici donanımı üzerinde konuşlandırılabilir, yorumlanabilir ve güvenilir bir model elde edebilmek. Bu çalışmanın temel katkıları şu şekilde özetlenebilir:</w:t>
      </w:r>
    </w:p>
    <w:p>
      <w:pPr>
        <w:spacing w:after="120"/>
        <w:ind w:left="283"/>
        <w:jc w:val="both"/>
      </w:pPr>
      <w:r>
        <w:rPr>
          <w:rFonts w:ascii="Times New Roman" w:hAnsi="Times New Roman" w:cs="Times New Roman" w:eastAsia="Times New Roman"/>
          <w:b w:val="0"/>
          <w:i w:val="0"/>
          <w:color w:val="333333"/>
          <w:sz w:val="18"/>
        </w:rPr>
        <w:t>(𝑖) Suno, Udio, MusicGen, AudioLDM2 ve diğer altı üretici sistem dahil olmak üzere on iki GenAI üreticisinden ve birden çok insan kaynağından (GTZAN, FMA, SleepyJesse kapakları) derlenen 5.195 örneklik, halka açık ve çoğaltılabilir nitelikte bir veri kümesinin oluşturulması;</w:t>
      </w:r>
    </w:p>
    <w:p>
      <w:pPr>
        <w:spacing w:after="120"/>
        <w:ind w:left="283"/>
        <w:jc w:val="both"/>
      </w:pPr>
      <w:r>
        <w:rPr>
          <w:rFonts w:ascii="Times New Roman" w:hAnsi="Times New Roman" w:cs="Times New Roman" w:eastAsia="Times New Roman"/>
          <w:b w:val="0"/>
          <w:i w:val="0"/>
          <w:color w:val="333333"/>
          <w:sz w:val="18"/>
        </w:rPr>
        <w:t>(𝑖𝑖) Yedi ML algoritmasının (Lojistik Regresyon, Rastgele Orman, Gradyan Artırma, Destek Vektör Makineleri (Support Vector Machines-SVM), Çok Katmanlı Algılayıcı (Multi-Layer Perceptron-MLP), XGBoost [9] ve LightGBM [10]) ve dört DL mimarisinin (DMLP, Tek Boyutlu Evrişimli Sinir Ağı (One-Dimensional Convolutional Neural Network-1B-ESA), Artık MLP (Residual MLP), Dikkat MLP (Attention MLP)) ortak bir 5-katlı çapraz doğrulama protokolü altında karşılaştırmalı olarak değerlendirilmesi; değerlendirme sonucunda LightGBM modelinin %95,48 ROC-AUC değeri ve katlar-arası ±0,0023 standart sapma ile en başarılı sonucu sağladığının gösterilmesi;</w:t>
      </w:r>
    </w:p>
    <w:p>
      <w:pPr>
        <w:spacing w:after="120"/>
        <w:ind w:left="283"/>
        <w:jc w:val="both"/>
      </w:pPr>
      <w:r>
        <w:rPr>
          <w:rFonts w:ascii="Times New Roman" w:hAnsi="Times New Roman" w:cs="Times New Roman" w:eastAsia="Times New Roman"/>
          <w:b w:val="0"/>
          <w:i w:val="0"/>
          <w:color w:val="333333"/>
          <w:sz w:val="18"/>
        </w:rPr>
        <w:t>(𝑖𝑖𝑖) Spektral düzlük standart sapması özniteliğinin, yapay zekâ ile insan müziği ayrımı için en bilgilendirici öznitelik olduğunu gösteren Shapley Katma Açıklamaları (Shapley Additive exPlanations-SHAP) [11] tabanlı bir yorumlanabilirlik analizinin sunulması; elde edilen bu sonucun, GenAI tarafından üretilen ses ile kaydedilmiş ses arasındaki spektral fark üzerinden açıklanabilir olduğunun tartışılması.</w:t>
      </w:r>
    </w:p>
    <w:p>
      <w:pPr>
        <w:spacing w:line="360" w:lineRule="auto" w:before="0" w:after="120"/>
        <w:ind w:firstLine="283"/>
        <w:jc w:val="both"/>
      </w:pPr>
      <w:r>
        <w:rPr>
          <w:rFonts w:ascii="Times New Roman" w:hAnsi="Times New Roman" w:cs="Times New Roman" w:eastAsia="Times New Roman"/>
          <w:b w:val="0"/>
          <w:i w:val="0"/>
          <w:color w:val="333333"/>
          <w:sz w:val="18"/>
        </w:rPr>
        <w:t>Bu makalenin geri kalanı şu şekilde yapılandırılmıştır: 1.1-1.5 alt bölümleri kapsamında ses derin sahte tespiti, Dönüştürücü tabanlı ses temsilleri, ses sınıflandırma için topluluk yöntemleri ve GenAI müzik tespiti alanındaki güncel literatür kapsamlı biçimde gözden geçirilmektedir. 2. Bölümde önerilen sistemin geliştirilmesi sürecinde kullanılan veri kümesi, öznitelik çıkarma boru hattı, on bir sınıflandırma modeli ve eğitim protokolü ayrıntılı olarak açıklanmaktadır. 3. Bölümde deneysel sonuçlar tüm modeller üzerinde karşılaştırmalı biçimde sunulmakta; öznitelik önemi, kalibrasyon ve modelin sınırlamaları üzerine tartışmalar yapılmaktadır. Son olarak 4. Bölüm, çalışmanın temel bulgularını özetleyerek gelecek araştırmalar için öngörülen yönleri belirtmektedir. Önerilen sistem, https://huggingface.co/spaces/Rtur2003/AURIS adresinde halka açık olarak kullanıma sunulmuştur.</w:t>
      </w:r>
    </w:p>
    <w:p>
      <w:pPr>
        <w:spacing w:before="160" w:after="40" w:line="360" w:lineRule="auto"/>
        <w:jc w:val="left"/>
        <w:keepNext/>
      </w:pPr>
      <w:r>
        <w:rPr>
          <w:rFonts w:ascii="Times New Roman" w:hAnsi="Times New Roman" w:cs="Times New Roman" w:eastAsia="Times New Roman"/>
          <w:b/>
          <w:i/>
          <w:color w:val="333333"/>
          <w:sz w:val="18"/>
        </w:rPr>
        <w:t>1.1. Konuşma için Ses Derin Sahte Tespiti (Audio Deepfake Detection for Speech)</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hem teknik hem de etik zorlukları ayrıntılı biçimde özetlenmiştir. Bunun yanı sıra, Frank ve Schönherr tarafından öne sürülen WaveFake [4] gibi büyük ölçekli veri kümeleri, vokoder-spesifik artefaktların tespit edilebilirliğinin sistematik biçimde incelenmesi için altyapı oluşturmuştur.</w:t>
      </w:r>
    </w:p>
    <w:p>
      <w:pPr>
        <w:spacing w:before="160" w:after="40" w:line="360" w:lineRule="auto"/>
        <w:jc w:val="left"/>
        <w:keepNext/>
      </w:pPr>
      <w:r>
        <w:rPr>
          <w:rFonts w:ascii="Times New Roman" w:hAnsi="Times New Roman" w:cs="Times New Roman" w:eastAsia="Times New Roman"/>
          <w:b/>
          <w:i/>
          <w:color w:val="333333"/>
          <w:sz w:val="18"/>
        </w:rPr>
        <w:t>1.2. Dönüştürücü Tabanlı Ses Temsilleri (Transformer-Based Audio Representations)</w:t>
      </w:r>
    </w:p>
    <w:p>
      <w:pPr>
        <w:spacing w:line="360" w:lineRule="auto" w:before="0" w:after="120"/>
        <w:ind w:firstLine="283"/>
        <w:jc w:val="both"/>
      </w:pPr>
      <w:r>
        <w:rPr>
          <w:rFonts w:ascii="Times New Roman" w:hAnsi="Times New Roman" w:cs="Times New Roman" w:eastAsia="Times New Roman"/>
          <w:b w:val="0"/>
          <w:i w:val="0"/>
          <w:color w:val="333333"/>
          <w:sz w:val="18"/>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(contrastive learning)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 Bu modeller doğrudan tespit için kullanılmasa da, ileri görevler için sağlam bir temel oluşturmaktadır.</w:t>
      </w:r>
    </w:p>
    <w:p>
      <w:pPr>
        <w:spacing w:before="160" w:after="40" w:line="360" w:lineRule="auto"/>
        <w:jc w:val="left"/>
        <w:keepNext/>
      </w:pPr>
      <w:r>
        <w:rPr>
          <w:rFonts w:ascii="Times New Roman" w:hAnsi="Times New Roman" w:cs="Times New Roman" w:eastAsia="Times New Roman"/>
          <w:b/>
          <w:i/>
          <w:color w:val="333333"/>
          <w:sz w:val="18"/>
        </w:rPr>
        <w:t>1.3. Ses İçin Topluluk Yöntemleri ve Gradyan Artırma (Ensemble Methods and Gradient Boosting for Audio)</w:t>
      </w:r>
    </w:p>
    <w:p>
      <w:pPr>
        <w:spacing w:line="360" w:lineRule="auto" w:before="0" w:after="120"/>
        <w:ind w:firstLine="283"/>
        <w:jc w:val="both"/>
      </w:pPr>
      <w:r>
        <w:rPr>
          <w:rFonts w:ascii="Times New Roman" w:hAnsi="Times New Roman" w:cs="Times New Roman" w:eastAsia="Times New Roman"/>
          <w:b w:val="0"/>
          <w:i w:val="0"/>
          <w:color w:val="333333"/>
          <w:sz w:val="18"/>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Değişken Mod Ayrıştırması (Variational Mode Decomposition-VMD) ve Geliştirilmiş Balina Optimizasyon Algoritması (Improved Whale Optimization Algorithm-IWOA) ile zenginleştirilen XGBoost modelinin (VMD-IWOA-XGBoost) GTZAN ve Bangla veri kümeleri üzerinde diğer modelleri beş değerlendirme kriterinde geride bıraktığını raporlamıştır. Türkçe literatür kapsamında, Hızlısoy ve Tüfekci [18] derin öğrenme tabanlı bir mimari ile Türkçe müziklerin tür sınıflandırması üzerinde çalışmış ve yeni bir Türkçe müzik veri tabanı oluşturmuşlardır. Özbalcı vd. [19], GTZAN veri kümesi üzerinde Rastgele Orman, SVM ve Yapay Sinir Ağı (Artificial Neural Network-YSA) algoritmalarını karşılaştırmalı olarak değerlendirmiş ve Rastgele Orman algoritması ile %81 doğruluk değerine ulaşmıştır. Turan ve Polat [20] ise yarı denetimli (semi-supervised) makine öğrenmesi yöntemlerini kullanarak müzik türlerinin tespiti üzerine bir çalışma sunmuşlardır. Kostrzewa vd. tarafından öne sürülen geniş sinir ağı toplulukları yaklaşımı [21], müzik tür sınıflandırmasında tek modellere kıyasla daha yüksek bir performans göstermiştir. Gourisaria vd. [22], Mel Frekans Kepstral Katsayıları (Mel Frequency Cepstral Coefficients-MFCC) ile Kısa Süreli Fourier Dönüşümü (Short-Time Fourier Transform-STFT) özniteliklerini karşılaştırmalı olarak inceleyerek ses sınıflandırması için en uygun temsil yöntemini araştırmışlardır.</w:t>
      </w:r>
    </w:p>
    <w:p>
      <w:pPr>
        <w:spacing w:before="160" w:after="40" w:line="360" w:lineRule="auto"/>
        <w:jc w:val="left"/>
        <w:keepNext/>
      </w:pPr>
      <w:r>
        <w:rPr>
          <w:rFonts w:ascii="Times New Roman" w:hAnsi="Times New Roman" w:cs="Times New Roman" w:eastAsia="Times New Roman"/>
          <w:b/>
          <w:i/>
          <w:color w:val="333333"/>
          <w:sz w:val="18"/>
        </w:rPr>
        <w:t>1.4. GenAI Müzik Üretici Sistemleri (GenAI Music Generation Systems)</w:t>
      </w:r>
    </w:p>
    <w:p>
      <w:pPr>
        <w:spacing w:line="360" w:lineRule="auto" w:before="0" w:after="120"/>
        <w:ind w:firstLine="283"/>
        <w:jc w:val="both"/>
      </w:pPr>
      <w:r>
        <w:rPr>
          <w:rFonts w:ascii="Times New Roman" w:hAnsi="Times New Roman" w:cs="Times New Roman" w:eastAsia="Times New Roman"/>
          <w:b w:val="0"/>
          <w:i w:val="0"/>
          <w:color w:val="333333"/>
          <w:sz w:val="18"/>
        </w:rPr>
        <w:t>GenAI müzik üretim sistemleri, tespit problemini doğrudan şekillendiren teknik çeşitliliği yansıtmaktadır. Copet vd. tarafından geliştirilen MusicGen [1] sistemi, metne koşullu sıkıştırılmış ses andıçları (audio tokens) üzerinde çalışan tek aşamalı bir Dönüştürücü dil modeli kullanmaktadır. Liu vd. tarafından öne sürülen AudioLDM [2] ise metinden sese üretim için CLAP gömmelerini koşullandırma sinyali olarak kullanan bir gizil difüzyon modelidir (latent diffusion model). Suno ve Udio gibi ticari ürünler altta yatan mimarilerini kamuoyu ile paylaşmamıştır; ancak çıktılarının sürümler arasında ölçülen spektral özellikleri, dağılımsal olarak gözlemlenebilir tutarlı bir iz bırakmaktadır.</w:t>
      </w:r>
    </w:p>
    <w:p>
      <w:pPr>
        <w:spacing w:before="160" w:after="40" w:line="360" w:lineRule="auto"/>
        <w:jc w:val="left"/>
        <w:keepNext/>
      </w:pPr>
      <w:r>
        <w:rPr>
          <w:rFonts w:ascii="Times New Roman" w:hAnsi="Times New Roman" w:cs="Times New Roman" w:eastAsia="Times New Roman"/>
          <w:b/>
          <w:i/>
          <w:color w:val="333333"/>
          <w:sz w:val="18"/>
        </w:rPr>
        <w:t>1.5. GenAI Müzik Tespitinde Güncel Gelişmeler (2024-2025) (Recent Advances in GenAI Music Detection (2024-2025))</w:t>
      </w:r>
    </w:p>
    <w:p>
      <w:pPr>
        <w:spacing w:line="360" w:lineRule="auto" w:before="0" w:after="120"/>
        <w:ind w:firstLine="283"/>
        <w:jc w:val="both"/>
      </w:pPr>
      <w:r>
        <w:rPr>
          <w:rFonts w:ascii="Times New Roman" w:hAnsi="Times New Roman" w:cs="Times New Roman" w:eastAsia="Times New Roman"/>
          <w:b w:val="0"/>
          <w:i w:val="0"/>
          <w:color w:val="333333"/>
          <w:sz w:val="18"/>
        </w:rPr>
        <w:t>Bu alandaki en doğrudan ilgili çalışmalar 2024-2025 yılları arasında yayımlanmıştır. Li vd. [5] ses derin sahte tespiti metodolojisini gelişmekte olan GenAI müzik tespiti alanına bağlayan bir yol haritası ve genel bakış sunmuş; aktarılabilir öznitelikleri katalogladıkları aynı çalışmada üretici modeller arası genellemenin alanın birincil açık problemi olduğunu vurgulamışlardır. Afchar vd. tarafından öne sürülen ICASSP 2025 çalışmasında [7], oto-kodlayıcı artefaktları üzerinde eğitilen tespit sistemlerinin nöral vokoderlerin spektral artıkları sayesinde %99,8 doğruluk değerine ulaşabileceği gösterilmiştir. Kim ve Go tarafından öne sürülen Segment Transformer [8], kısa müzik segmentlerini bir Dönüştürücü başlığı ile işleyen ve kendi kendini denetimli önceden eğitilmiş temsilleri yapısal örüntülerin yakalanması amacıyla entegre eden bir mimari sunmaktadır. Rahman vd. tarafından geliştirilen SONICS veri kümesi [23], 97.000'den fazla şarkı ve 49.000'den fazla Suno/Udio kaynaklı sentetik şarkı içermekte olup uçtan-uca sentetik şarkı tespiti için geniş ölçekli bir referans kıyaslama oluşturmaktadır. Comanducci vd. [24] tarafından geliştirilen FakeMusicCaps veri kümesi, beş farklı metinden-müziğe modeli ile yeniden üretilmiş MusicCaps eşlemelerinden oluşmakta ve hem tespit hem de atıflandırma deneyleri için bir temel sağlamaktadır. Pascu vd. tarafından öne sürülen Echoes [25] veri kümesi, on farklı popüler GenAI müzik üretim sistemi tarafından üretilen anlamsal-hizalı içeriği kapsamaktadır. Sunday [26] FakeMusicCaps üzerinde CNN tabanlı tespit yaklaşımının tempo gerdirme ve perde kaydırma altındaki performansını ölçmüştür; Sroka vd. tarafından öne sürülen çalışmada [27] ise ses büyütmeleri (audio augmentations) altında sahte müzik tespit performansının sistematik biçimde değerlendirilmesi gerçekleştirilmiştir. Bu çalışmaların ortak bulgusu şu şekilde özetlenebilir: hiçbir tek mimari ailesi, hem üretici modeller arası genellemeyi hem de düşmanca güçlendirilmiş sinyallere karşı sağlamlığı tek başına sağlayamamaktadır. AURIS ile karşılaştırma amacıyla ilgili çalışmaların genel bakışı Tablo 1'de sunulmuştur.</w:t>
      </w:r>
    </w:p>
    <w:p>
      <w:pPr>
        <w:spacing w:before="160" w:after="0"/>
        <w:jc w:val="center"/>
        <w:keepNext/>
      </w:pPr>
      <w:r>
        <w:rPr>
          <w:rFonts w:ascii="Times New Roman" w:hAnsi="Times New Roman" w:cs="Times New Roman" w:eastAsia="Times New Roman"/>
          <w:b/>
          <w:i w:val="0"/>
          <w:color w:val="333333"/>
          <w:sz w:val="18"/>
        </w:rPr>
        <w:t>Tablo 1. Yapay zekâ müzik tespiti alanındaki ilgili çalışmaların genel bakışı</w:t>
      </w:r>
    </w:p>
    <w:p>
      <w:pPr>
        <w:spacing w:before="0" w:after="40"/>
        <w:jc w:val="center"/>
        <w:keepNext/>
      </w:pPr>
      <w:r>
        <w:rPr>
          <w:rFonts w:ascii="Times New Roman" w:hAnsi="Times New Roman" w:cs="Times New Roman" w:eastAsia="Times New Roman"/>
          <w:b w:val="0"/>
          <w:i/>
          <w:color w:val="333333"/>
          <w:sz w:val="18"/>
        </w:rPr>
        <w:t>(Overview of related works in AI-generated music detection)</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C99347"/>
          </w:tcPr>
          <w:p>
            <w:pPr>
              <w:jc w:val="center"/>
            </w:pPr>
            <w:r/>
            <w:r>
              <w:rPr>
                <w:rFonts w:ascii="Times New Roman" w:hAnsi="Times New Roman" w:cs="Times New Roman" w:eastAsia="Times New Roman"/>
                <w:b/>
                <w:i w:val="0"/>
                <w:color w:val="FFFFFF"/>
                <w:sz w:val="16"/>
              </w:rPr>
              <w:t>Çalışma</w:t>
            </w:r>
          </w:p>
        </w:tc>
        <w:tc>
          <w:tcPr>
            <w:tcW w:type="dxa" w:w="2041"/>
            <w:shd w:val="clear" w:color="auto" w:fill="C99347"/>
          </w:tcPr>
          <w:p>
            <w:pPr>
              <w:jc w:val="center"/>
            </w:pPr>
            <w:r/>
            <w:r>
              <w:rPr>
                <w:rFonts w:ascii="Times New Roman" w:hAnsi="Times New Roman" w:cs="Times New Roman" w:eastAsia="Times New Roman"/>
                <w:b/>
                <w:i w:val="0"/>
                <w:color w:val="FFFFFF"/>
                <w:sz w:val="16"/>
              </w:rPr>
              <w:t>Veri Kümesi</w:t>
            </w:r>
          </w:p>
        </w:tc>
        <w:tc>
          <w:tcPr>
            <w:tcW w:type="dxa" w:w="2041"/>
            <w:shd w:val="clear" w:color="auto" w:fill="C99347"/>
          </w:tcPr>
          <w:p>
            <w:pPr>
              <w:jc w:val="center"/>
            </w:pPr>
            <w:r/>
            <w:r>
              <w:rPr>
                <w:rFonts w:ascii="Times New Roman" w:hAnsi="Times New Roman" w:cs="Times New Roman" w:eastAsia="Times New Roman"/>
                <w:b/>
                <w:i w:val="0"/>
                <w:color w:val="FFFFFF"/>
                <w:sz w:val="16"/>
              </w:rPr>
              <w:t>Kullanılan Metot(lar)</w:t>
            </w:r>
          </w:p>
        </w:tc>
        <w:tc>
          <w:tcPr>
            <w:tcW w:type="dxa" w:w="2041"/>
            <w:shd w:val="clear" w:color="auto" w:fill="C99347"/>
          </w:tcPr>
          <w:p>
            <w:pPr>
              <w:jc w:val="center"/>
            </w:pPr>
            <w:r/>
            <w:r>
              <w:rPr>
                <w:rFonts w:ascii="Times New Roman" w:hAnsi="Times New Roman" w:cs="Times New Roman" w:eastAsia="Times New Roman"/>
                <w:b/>
                <w:i w:val="0"/>
                <w:color w:val="FFFFFF"/>
                <w:sz w:val="16"/>
              </w:rPr>
              <w:t>Değerlendirme</w:t>
            </w:r>
          </w:p>
        </w:tc>
        <w:tc>
          <w:tcPr>
            <w:tcW w:type="dxa" w:w="2041"/>
            <w:shd w:val="clear" w:color="auto" w:fill="C99347"/>
          </w:tcPr>
          <w:p>
            <w:pPr>
              <w:jc w:val="center"/>
            </w:pPr>
            <w:r/>
            <w:r>
              <w:rPr>
                <w:rFonts w:ascii="Times New Roman" w:hAnsi="Times New Roman" w:cs="Times New Roman" w:eastAsia="Times New Roman"/>
                <w:b/>
                <w:i w:val="0"/>
                <w:color w:val="FFFFFF"/>
                <w:sz w:val="16"/>
              </w:rPr>
              <w:t>En İyi Sonuç</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Afchar vd. [7]</w:t>
            </w:r>
          </w:p>
        </w:tc>
        <w:tc>
          <w:tcPr>
            <w:tcW w:type="dxa" w:w="2041"/>
            <w:shd w:val="clear" w:color="auto" w:fill="FFFFFF"/>
          </w:tcPr>
          <w:p>
            <w:pPr>
              <w:jc w:val="center"/>
            </w:pPr>
            <w:r/>
            <w:r>
              <w:rPr>
                <w:rFonts w:ascii="Times New Roman" w:hAnsi="Times New Roman" w:cs="Times New Roman" w:eastAsia="Times New Roman"/>
                <w:b w:val="0"/>
                <w:i w:val="0"/>
                <w:color w:val="333333"/>
                <w:sz w:val="16"/>
              </w:rPr>
              <w:t>Özel (Suno + insan)</w:t>
            </w:r>
          </w:p>
        </w:tc>
        <w:tc>
          <w:tcPr>
            <w:tcW w:type="dxa" w:w="2041"/>
            <w:shd w:val="clear" w:color="auto" w:fill="FFFFFF"/>
          </w:tcPr>
          <w:p>
            <w:pPr>
              <w:jc w:val="center"/>
            </w:pPr>
            <w:r/>
            <w:r>
              <w:rPr>
                <w:rFonts w:ascii="Times New Roman" w:hAnsi="Times New Roman" w:cs="Times New Roman" w:eastAsia="Times New Roman"/>
                <w:b w:val="0"/>
                <w:i w:val="0"/>
                <w:color w:val="333333"/>
                <w:sz w:val="16"/>
              </w:rPr>
              <w:t>wav2vec2 + sınıflandırıcı başlık</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%99,8 (yumuşatılmamış)</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Kim ve Go [8]</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 + SONICS</w:t>
            </w:r>
          </w:p>
        </w:tc>
        <w:tc>
          <w:tcPr>
            <w:tcW w:type="dxa" w:w="2041"/>
            <w:shd w:val="clear" w:color="auto" w:fill="F5F0E8"/>
          </w:tcPr>
          <w:p>
            <w:pPr>
              <w:jc w:val="center"/>
            </w:pPr>
            <w:r/>
            <w:r>
              <w:rPr>
                <w:rFonts w:ascii="Times New Roman" w:hAnsi="Times New Roman" w:cs="Times New Roman" w:eastAsia="Times New Roman"/>
                <w:b w:val="0"/>
                <w:i w:val="0"/>
                <w:color w:val="333333"/>
                <w:sz w:val="16"/>
              </w:rPr>
              <w:t>Segment Transformer (SSL + transformer)</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%91+ (segment)</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Rahman vd. [23]</w:t>
            </w:r>
          </w:p>
        </w:tc>
        <w:tc>
          <w:tcPr>
            <w:tcW w:type="dxa" w:w="2041"/>
            <w:shd w:val="clear" w:color="auto" w:fill="FFFFFF"/>
          </w:tcPr>
          <w:p>
            <w:pPr>
              <w:jc w:val="center"/>
            </w:pPr>
            <w:r/>
            <w:r>
              <w:rPr>
                <w:rFonts w:ascii="Times New Roman" w:hAnsi="Times New Roman" w:cs="Times New Roman" w:eastAsia="Times New Roman"/>
                <w:b w:val="0"/>
                <w:i w:val="0"/>
                <w:color w:val="333333"/>
                <w:sz w:val="16"/>
              </w:rPr>
              <w:t>SONICS (97K şarkı)</w:t>
            </w:r>
          </w:p>
        </w:tc>
        <w:tc>
          <w:tcPr>
            <w:tcW w:type="dxa" w:w="2041"/>
            <w:shd w:val="clear" w:color="auto" w:fill="FFFFFF"/>
          </w:tcPr>
          <w:p>
            <w:pPr>
              <w:jc w:val="center"/>
            </w:pPr>
            <w:r/>
            <w:r>
              <w:rPr>
                <w:rFonts w:ascii="Times New Roman" w:hAnsi="Times New Roman" w:cs="Times New Roman" w:eastAsia="Times New Roman"/>
                <w:b w:val="0"/>
                <w:i w:val="0"/>
                <w:color w:val="333333"/>
                <w:sz w:val="16"/>
              </w:rPr>
              <w:t>SpecTTTra (verimli transformer)</w:t>
            </w:r>
          </w:p>
        </w:tc>
        <w:tc>
          <w:tcPr>
            <w:tcW w:type="dxa" w:w="2041"/>
            <w:shd w:val="clear" w:color="auto" w:fill="FFFFFF"/>
          </w:tcPr>
          <w:p>
            <w:pPr>
              <w:jc w:val="center"/>
            </w:pPr>
            <w:r/>
            <w:r>
              <w:rPr>
                <w:rFonts w:ascii="Times New Roman" w:hAnsi="Times New Roman" w:cs="Times New Roman" w:eastAsia="Times New Roman"/>
                <w:b w:val="0"/>
                <w:i w:val="0"/>
                <w:color w:val="333333"/>
                <w:sz w:val="16"/>
              </w:rPr>
              <w:t>F1,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Rekabetçi, 6× daha az bellek</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Comanducci vd. [24]</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w:t>
            </w:r>
          </w:p>
        </w:tc>
        <w:tc>
          <w:tcPr>
            <w:tcW w:type="dxa" w:w="2041"/>
            <w:shd w:val="clear" w:color="auto" w:fill="F5F0E8"/>
          </w:tcPr>
          <w:p>
            <w:pPr>
              <w:jc w:val="center"/>
            </w:pPr>
            <w:r/>
            <w:r>
              <w:rPr>
                <w:rFonts w:ascii="Times New Roman" w:hAnsi="Times New Roman" w:cs="Times New Roman" w:eastAsia="Times New Roman"/>
                <w:b w:val="0"/>
                <w:i w:val="0"/>
                <w:color w:val="333333"/>
                <w:sz w:val="16"/>
              </w:rPr>
              <w:t>CNN + MFCC</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5F0E8"/>
          </w:tcPr>
          <w:p>
            <w:pPr>
              <w:jc w:val="center"/>
            </w:pPr>
            <w:r/>
            <w:r>
              <w:rPr>
                <w:rFonts w:ascii="Times New Roman" w:hAnsi="Times New Roman" w:cs="Times New Roman" w:eastAsia="Times New Roman"/>
                <w:b w:val="0"/>
                <w:i w:val="0"/>
                <w:color w:val="333333"/>
                <w:sz w:val="16"/>
              </w:rPr>
              <w:t>İlk referans değerleri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Sunday [26]</w:t>
            </w:r>
          </w:p>
        </w:tc>
        <w:tc>
          <w:tcPr>
            <w:tcW w:type="dxa" w:w="2041"/>
            <w:shd w:val="clear" w:color="auto" w:fill="FFFFFF"/>
          </w:tcPr>
          <w:p>
            <w:pPr>
              <w:jc w:val="center"/>
            </w:pPr>
            <w:r/>
            <w:r>
              <w:rPr>
                <w:rFonts w:ascii="Times New Roman" w:hAnsi="Times New Roman" w:cs="Times New Roman" w:eastAsia="Times New Roman"/>
                <w:b w:val="0"/>
                <w:i w:val="0"/>
                <w:color w:val="333333"/>
                <w:sz w:val="16"/>
              </w:rPr>
              <w:t>FakeMusicCaps + ses büyütmeleri</w:t>
            </w:r>
          </w:p>
        </w:tc>
        <w:tc>
          <w:tcPr>
            <w:tcW w:type="dxa" w:w="2041"/>
            <w:shd w:val="clear" w:color="auto" w:fill="FFFFFF"/>
          </w:tcPr>
          <w:p>
            <w:pPr>
              <w:jc w:val="center"/>
            </w:pPr>
            <w:r/>
            <w:r>
              <w:rPr>
                <w:rFonts w:ascii="Times New Roman" w:hAnsi="Times New Roman" w:cs="Times New Roman" w:eastAsia="Times New Roman"/>
                <w:b w:val="0"/>
                <w:i w:val="0"/>
                <w:color w:val="333333"/>
                <w:sz w:val="16"/>
              </w:rPr>
              <w:t>CNN üzerinde Mel-spektrogram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FFFFF"/>
          </w:tcPr>
          <w:p>
            <w:pPr>
              <w:jc w:val="center"/>
            </w:pPr>
            <w:r/>
            <w:r>
              <w:rPr>
                <w:rFonts w:ascii="Times New Roman" w:hAnsi="Times New Roman" w:cs="Times New Roman" w:eastAsia="Times New Roman"/>
                <w:b w:val="0"/>
                <w:i w:val="0"/>
                <w:color w:val="333333"/>
                <w:sz w:val="16"/>
              </w:rPr>
              <w:t>Büyütmeler altında değişken</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Sroka vd. [27]</w:t>
            </w:r>
          </w:p>
        </w:tc>
        <w:tc>
          <w:tcPr>
            <w:tcW w:type="dxa" w:w="2041"/>
            <w:shd w:val="clear" w:color="auto" w:fill="F5F0E8"/>
          </w:tcPr>
          <w:p>
            <w:pPr>
              <w:jc w:val="center"/>
            </w:pPr>
            <w:r/>
            <w:r>
              <w:rPr>
                <w:rFonts w:ascii="Times New Roman" w:hAnsi="Times New Roman" w:cs="Times New Roman" w:eastAsia="Times New Roman"/>
                <w:b w:val="0"/>
                <w:i w:val="0"/>
                <w:color w:val="333333"/>
                <w:sz w:val="16"/>
              </w:rPr>
              <w:t>Birden çok kamuya açık veri</w:t>
            </w:r>
          </w:p>
        </w:tc>
        <w:tc>
          <w:tcPr>
            <w:tcW w:type="dxa" w:w="2041"/>
            <w:shd w:val="clear" w:color="auto" w:fill="F5F0E8"/>
          </w:tcPr>
          <w:p>
            <w:pPr>
              <w:jc w:val="center"/>
            </w:pPr>
            <w:r/>
            <w:r>
              <w:rPr>
                <w:rFonts w:ascii="Times New Roman" w:hAnsi="Times New Roman" w:cs="Times New Roman" w:eastAsia="Times New Roman"/>
                <w:b w:val="0"/>
                <w:i w:val="0"/>
                <w:color w:val="333333"/>
                <w:sz w:val="16"/>
              </w:rPr>
              <w:t>Çoklu mimari karşılaştırması</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Sağlamlık-doğruluk dengesi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Pascu vd. [25]</w:t>
            </w:r>
          </w:p>
        </w:tc>
        <w:tc>
          <w:tcPr>
            <w:tcW w:type="dxa" w:w="2041"/>
            <w:shd w:val="clear" w:color="auto" w:fill="FFFFFF"/>
          </w:tcPr>
          <w:p>
            <w:pPr>
              <w:jc w:val="center"/>
            </w:pPr>
            <w:r/>
            <w:r>
              <w:rPr>
                <w:rFonts w:ascii="Times New Roman" w:hAnsi="Times New Roman" w:cs="Times New Roman" w:eastAsia="Times New Roman"/>
                <w:b w:val="0"/>
                <w:i w:val="0"/>
                <w:color w:val="333333"/>
                <w:sz w:val="16"/>
              </w:rPr>
              <w:t>Echoes (3577 parça)</w:t>
            </w:r>
          </w:p>
        </w:tc>
        <w:tc>
          <w:tcPr>
            <w:tcW w:type="dxa" w:w="2041"/>
            <w:shd w:val="clear" w:color="auto" w:fill="FFFFFF"/>
          </w:tcPr>
          <w:p>
            <w:pPr>
              <w:jc w:val="center"/>
            </w:pPr>
            <w:r/>
            <w:r>
              <w:rPr>
                <w:rFonts w:ascii="Times New Roman" w:hAnsi="Times New Roman" w:cs="Times New Roman" w:eastAsia="Times New Roman"/>
                <w:b w:val="0"/>
                <w:i w:val="0"/>
                <w:color w:val="333333"/>
                <w:sz w:val="16"/>
              </w:rPr>
              <w:t>Çoklu üretici sistem dahil eğitim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Anlamsal-hizalı kıyaslama</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Bu çalışma (AURIS)</w:t>
            </w:r>
          </w:p>
        </w:tc>
        <w:tc>
          <w:tcPr>
            <w:tcW w:type="dxa" w:w="2041"/>
            <w:shd w:val="clear" w:color="auto" w:fill="F5F0E8"/>
          </w:tcPr>
          <w:p>
            <w:pPr>
              <w:jc w:val="center"/>
            </w:pPr>
            <w:r/>
            <w:r>
              <w:rPr>
                <w:rFonts w:ascii="Times New Roman" w:hAnsi="Times New Roman" w:cs="Times New Roman" w:eastAsia="Times New Roman"/>
                <w:b w:val="0"/>
                <w:i w:val="0"/>
                <w:color w:val="333333"/>
                <w:sz w:val="16"/>
              </w:rPr>
              <w:t>5.195 örnek, 12+ üretici</w:t>
            </w:r>
          </w:p>
        </w:tc>
        <w:tc>
          <w:tcPr>
            <w:tcW w:type="dxa" w:w="2041"/>
            <w:shd w:val="clear" w:color="auto" w:fill="F5F0E8"/>
          </w:tcPr>
          <w:p>
            <w:pPr>
              <w:jc w:val="center"/>
            </w:pPr>
            <w:r/>
            <w:r>
              <w:rPr>
                <w:rFonts w:ascii="Times New Roman" w:hAnsi="Times New Roman" w:cs="Times New Roman" w:eastAsia="Times New Roman"/>
                <w:b w:val="0"/>
                <w:i w:val="0"/>
                <w:color w:val="333333"/>
                <w:sz w:val="16"/>
              </w:rPr>
              <w:t>47 öznitelik + 11 model topluluğu</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AUC, F1, Brier</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%95,48 (LightGBM)</w:t>
            </w:r>
          </w:p>
        </w:tc>
      </w:tr>
    </w:tbl>
    <w:p>
      <w:pPr>
        <w:spacing w:after="160"/>
      </w:pPr>
    </w:p>
    <w:p>
      <w:pPr>
        <w:spacing w:before="240" w:after="80" w:line="360" w:lineRule="auto"/>
        <w:jc w:val="left"/>
        <w:keepNext/>
      </w:pPr>
      <w:r>
        <w:rPr>
          <w:rFonts w:ascii="Times New Roman" w:hAnsi="Times New Roman" w:cs="Times New Roman" w:eastAsia="Times New Roman"/>
          <w:b/>
          <w:i w:val="0"/>
          <w:color w:val="333333"/>
          <w:sz w:val="18"/>
        </w:rPr>
        <w:t>2. Materyal ve Yöntem (Material and Method)</w:t>
      </w:r>
    </w:p>
    <w:p>
      <w:pPr>
        <w:spacing w:line="360" w:lineRule="auto" w:before="0" w:after="120"/>
        <w:ind w:firstLine="283"/>
        <w:jc w:val="both"/>
      </w:pPr>
      <w:r>
        <w:rPr>
          <w:rFonts w:ascii="Times New Roman" w:hAnsi="Times New Roman" w:cs="Times New Roman" w:eastAsia="Times New Roman"/>
          <w:b w:val="0"/>
          <w:i w:val="0"/>
          <w:color w:val="333333"/>
          <w:sz w:val="18"/>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işleyişine genel bir bakış Şekil 1'de sunulmuştur.</w:t>
      </w:r>
    </w:p>
    <w:p>
      <w:pPr>
        <w:spacing w:before="200" w:after="40"/>
        <w:jc w:val="center"/>
        <w:keepNext/>
      </w:pPr>
      <w:r>
        <w:drawing>
          <wp:inline xmlns:a="http://schemas.openxmlformats.org/drawingml/2006/main" xmlns:pic="http://schemas.openxmlformats.org/drawingml/2006/picture">
            <wp:extent cx="3060000" cy="987681"/>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3060000" cy="98768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 AURIS uçtan-uca işleyiş şeması: ses girişi, 47 boyutlu öznitelik çıkarma, standartlaştırma, 11 modelli topluluk, olasılık füzyonu ve karar eşiği.</w:t>
      </w:r>
    </w:p>
    <w:p>
      <w:pPr>
        <w:spacing w:before="0" w:after="160"/>
        <w:jc w:val="center"/>
      </w:pPr>
      <w:r>
        <w:rPr>
          <w:rFonts w:ascii="Times New Roman" w:hAnsi="Times New Roman" w:cs="Times New Roman" w:eastAsia="Times New Roman"/>
          <w:b w:val="0"/>
          <w:i/>
          <w:color w:val="333333"/>
          <w:sz w:val="18"/>
        </w:rPr>
        <w:t>(End-to-end AURIS pipeline: audio input, 47-dimensional feature extraction, standardisation, 11-model ensemble, probability fusion and decision threshold.)</w:t>
      </w:r>
    </w:p>
    <w:p>
      <w:pPr>
        <w:spacing w:before="160" w:after="40" w:line="360" w:lineRule="auto"/>
        <w:jc w:val="left"/>
        <w:keepNext/>
      </w:pPr>
      <w:r>
        <w:rPr>
          <w:rFonts w:ascii="Times New Roman" w:hAnsi="Times New Roman" w:cs="Times New Roman" w:eastAsia="Times New Roman"/>
          <w:b/>
          <w:i/>
          <w:color w:val="333333"/>
          <w:sz w:val="18"/>
        </w:rPr>
        <w:t>2.1. Kullanılan Veri Kümesi (Utilized Dataset)</w:t>
      </w:r>
    </w:p>
    <w:p>
      <w:pPr>
        <w:spacing w:line="360" w:lineRule="auto" w:before="0" w:after="120"/>
        <w:ind w:firstLine="283"/>
        <w:jc w:val="both"/>
      </w:pPr>
      <w:r>
        <w:rPr>
          <w:rFonts w:ascii="Times New Roman" w:hAnsi="Times New Roman" w:cs="Times New Roman" w:eastAsia="Times New Roman"/>
          <w:b w:val="0"/>
          <w:i w:val="0"/>
          <w:color w:val="333333"/>
          <w:sz w:val="18"/>
        </w:rPr>
        <w:t>Güçlü bir ML/DL modelinin inşa edilebilmesi için en önemli gereksinimlerden biri altın standartta bir veri kümesine sahip olmaktır. Bu bağlamda, bu çalışmada toplam 5.195 ses örneğinden oluşan kapsamlı bir veri kümesi derlenmiştir. Bu örneklerin 3.113 tanesi insan tarafından bestelenmiş ve seslendirilmiş kayıtları (sınıf 0), 2.082 tanesi ise GenAI sistemleri tarafından üretilmiş örnekleri (sınıf 1) temsil etmektedir. İnsan kaynakları üç ayrı havuzdan oluşturulmuştur: GTZAN (899 örnek; on tür, 30 saniyelik klipler), FMA Small (1.000 örnek; sekiz tür) ve bir kapak performansı veri seti olan SleepyJesse (854 örnek). GenAI kaynakları daha çeşitli bir yapı sergilemekte olup Suno (500 örnek, sürüm 3-5), Udio, MusicGen [1], AudioLDM2 [2], Stable Audio, Riffusion, Mustango, JEN-1 ve dahili olarak adlandırılan 'Echoes' ile 'AImE' alt kümelerini içermektedir. Kullanılan veri kümesinin kompozisyonu ve sınıf dağılımı Tablo 2'de özetlenmiştir.</w:t>
      </w:r>
    </w:p>
    <w:p>
      <w:pPr>
        <w:spacing w:before="160" w:after="0"/>
        <w:jc w:val="center"/>
        <w:keepNext/>
      </w:pPr>
      <w:r>
        <w:rPr>
          <w:rFonts w:ascii="Times New Roman" w:hAnsi="Times New Roman" w:cs="Times New Roman" w:eastAsia="Times New Roman"/>
          <w:b/>
          <w:i w:val="0"/>
          <w:color w:val="333333"/>
          <w:sz w:val="18"/>
        </w:rPr>
        <w:t>Tablo 2. Veri kümesi kompozisyonu ve sınıf dağılımı</w:t>
      </w:r>
    </w:p>
    <w:p>
      <w:pPr>
        <w:spacing w:before="0" w:after="40"/>
        <w:jc w:val="center"/>
        <w:keepNext/>
      </w:pPr>
      <w:r>
        <w:rPr>
          <w:rFonts w:ascii="Times New Roman" w:hAnsi="Times New Roman" w:cs="Times New Roman" w:eastAsia="Times New Roman"/>
          <w:b w:val="0"/>
          <w:i/>
          <w:color w:val="333333"/>
          <w:sz w:val="18"/>
        </w:rPr>
        <w:t>(Dataset composition and class distribution)</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C99347"/>
          </w:tcPr>
          <w:p>
            <w:pPr>
              <w:jc w:val="center"/>
            </w:pPr>
            <w:r/>
            <w:r>
              <w:rPr>
                <w:rFonts w:ascii="Times New Roman" w:hAnsi="Times New Roman" w:cs="Times New Roman" w:eastAsia="Times New Roman"/>
                <w:b/>
                <w:i w:val="0"/>
                <w:color w:val="FFFFFF"/>
                <w:sz w:val="16"/>
              </w:rPr>
              <w:t>Kaynak</w:t>
            </w:r>
          </w:p>
        </w:tc>
        <w:tc>
          <w:tcPr>
            <w:tcW w:type="dxa" w:w="2551"/>
            <w:shd w:val="clear" w:color="auto" w:fill="C99347"/>
          </w:tcPr>
          <w:p>
            <w:pPr>
              <w:jc w:val="center"/>
            </w:pPr>
            <w:r/>
            <w:r>
              <w:rPr>
                <w:rFonts w:ascii="Times New Roman" w:hAnsi="Times New Roman" w:cs="Times New Roman" w:eastAsia="Times New Roman"/>
                <w:b/>
                <w:i w:val="0"/>
                <w:color w:val="FFFFFF"/>
                <w:sz w:val="16"/>
              </w:rPr>
              <w:t>Tür</w:t>
            </w:r>
          </w:p>
        </w:tc>
        <w:tc>
          <w:tcPr>
            <w:tcW w:type="dxa" w:w="2551"/>
            <w:shd w:val="clear" w:color="auto" w:fill="C99347"/>
          </w:tcPr>
          <w:p>
            <w:pPr>
              <w:jc w:val="center"/>
            </w:pPr>
            <w:r/>
            <w:r>
              <w:rPr>
                <w:rFonts w:ascii="Times New Roman" w:hAnsi="Times New Roman" w:cs="Times New Roman" w:eastAsia="Times New Roman"/>
                <w:b/>
                <w:i w:val="0"/>
                <w:color w:val="FFFFFF"/>
                <w:sz w:val="16"/>
              </w:rPr>
              <w:t>Örnek Sayısı</w:t>
            </w:r>
          </w:p>
        </w:tc>
        <w:tc>
          <w:tcPr>
            <w:tcW w:type="dxa" w:w="2551"/>
            <w:shd w:val="clear" w:color="auto" w:fill="C99347"/>
          </w:tcPr>
          <w:p>
            <w:pPr>
              <w:jc w:val="center"/>
            </w:pPr>
            <w:r/>
            <w:r>
              <w:rPr>
                <w:rFonts w:ascii="Times New Roman" w:hAnsi="Times New Roman" w:cs="Times New Roman" w:eastAsia="Times New Roman"/>
                <w:b/>
                <w:i w:val="0"/>
                <w:color w:val="FFFFFF"/>
                <w:sz w:val="16"/>
              </w:rPr>
              <w:t>Etiket</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GTZAN</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(on tür)</w:t>
            </w:r>
          </w:p>
        </w:tc>
        <w:tc>
          <w:tcPr>
            <w:tcW w:type="dxa" w:w="2551"/>
            <w:shd w:val="clear" w:color="auto" w:fill="FFFFFF"/>
          </w:tcPr>
          <w:p>
            <w:pPr>
              <w:jc w:val="center"/>
            </w:pPr>
            <w:r/>
            <w:r>
              <w:rPr>
                <w:rFonts w:ascii="Times New Roman" w:hAnsi="Times New Roman" w:cs="Times New Roman" w:eastAsia="Times New Roman"/>
                <w:b w:val="0"/>
                <w:i w:val="0"/>
                <w:color w:val="333333"/>
                <w:sz w:val="16"/>
              </w:rPr>
              <w:t>899</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FMA Small</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(sekiz tür)</w:t>
            </w:r>
          </w:p>
        </w:tc>
        <w:tc>
          <w:tcPr>
            <w:tcW w:type="dxa" w:w="2551"/>
            <w:shd w:val="clear" w:color="auto" w:fill="F5F0E8"/>
          </w:tcPr>
          <w:p>
            <w:pPr>
              <w:jc w:val="center"/>
            </w:pPr>
            <w:r/>
            <w:r>
              <w:rPr>
                <w:rFonts w:ascii="Times New Roman" w:hAnsi="Times New Roman" w:cs="Times New Roman" w:eastAsia="Times New Roman"/>
                <w:b w:val="0"/>
                <w:i w:val="0"/>
                <w:color w:val="333333"/>
                <w:sz w:val="16"/>
              </w:rPr>
              <w:t>1.000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SleepyJesse</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(kapak performansları)</w:t>
            </w:r>
          </w:p>
        </w:tc>
        <w:tc>
          <w:tcPr>
            <w:tcW w:type="dxa" w:w="2551"/>
            <w:shd w:val="clear" w:color="auto" w:fill="FFFFFF"/>
          </w:tcPr>
          <w:p>
            <w:pPr>
              <w:jc w:val="center"/>
            </w:pPr>
            <w:r/>
            <w:r>
              <w:rPr>
                <w:rFonts w:ascii="Times New Roman" w:hAnsi="Times New Roman" w:cs="Times New Roman" w:eastAsia="Times New Roman"/>
                <w:b w:val="0"/>
                <w:i w:val="0"/>
                <w:color w:val="333333"/>
                <w:sz w:val="16"/>
              </w:rPr>
              <w:t>854</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Diğer insan kaynakları</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(çeşitli)</w:t>
            </w:r>
          </w:p>
        </w:tc>
        <w:tc>
          <w:tcPr>
            <w:tcW w:type="dxa" w:w="2551"/>
            <w:shd w:val="clear" w:color="auto" w:fill="F5F0E8"/>
          </w:tcPr>
          <w:p>
            <w:pPr>
              <w:jc w:val="center"/>
            </w:pPr>
            <w:r/>
            <w:r>
              <w:rPr>
                <w:rFonts w:ascii="Times New Roman" w:hAnsi="Times New Roman" w:cs="Times New Roman" w:eastAsia="Times New Roman"/>
                <w:b w:val="0"/>
                <w:i w:val="0"/>
                <w:color w:val="333333"/>
                <w:sz w:val="16"/>
              </w:rPr>
              <w:t>360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Echoes</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(Suno türevi)</w:t>
            </w:r>
          </w:p>
        </w:tc>
        <w:tc>
          <w:tcPr>
            <w:tcW w:type="dxa" w:w="2551"/>
            <w:shd w:val="clear" w:color="auto" w:fill="FFFFFF"/>
          </w:tcPr>
          <w:p>
            <w:pPr>
              <w:jc w:val="center"/>
            </w:pPr>
            <w:r/>
            <w:r>
              <w:rPr>
                <w:rFonts w:ascii="Times New Roman" w:hAnsi="Times New Roman" w:cs="Times New Roman" w:eastAsia="Times New Roman"/>
                <w:b w:val="0"/>
                <w:i w:val="0"/>
                <w:color w:val="333333"/>
                <w:sz w:val="16"/>
              </w:rPr>
              <w:t>1.128</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Suno (v3-v5)</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(ticari)</w:t>
            </w:r>
          </w:p>
        </w:tc>
        <w:tc>
          <w:tcPr>
            <w:tcW w:type="dxa" w:w="2551"/>
            <w:shd w:val="clear" w:color="auto" w:fill="F5F0E8"/>
          </w:tcPr>
          <w:p>
            <w:pPr>
              <w:jc w:val="center"/>
            </w:pPr>
            <w:r/>
            <w:r>
              <w:rPr>
                <w:rFonts w:ascii="Times New Roman" w:hAnsi="Times New Roman" w:cs="Times New Roman" w:eastAsia="Times New Roman"/>
                <w:b w:val="0"/>
                <w:i w:val="0"/>
                <w:color w:val="333333"/>
                <w:sz w:val="16"/>
              </w:rPr>
              <w:t>500</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Deepfake seti</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(karışık)</w:t>
            </w:r>
          </w:p>
        </w:tc>
        <w:tc>
          <w:tcPr>
            <w:tcW w:type="dxa" w:w="2551"/>
            <w:shd w:val="clear" w:color="auto" w:fill="FFFFFF"/>
          </w:tcPr>
          <w:p>
            <w:pPr>
              <w:jc w:val="center"/>
            </w:pPr>
            <w:r/>
            <w:r>
              <w:rPr>
                <w:rFonts w:ascii="Times New Roman" w:hAnsi="Times New Roman" w:cs="Times New Roman" w:eastAsia="Times New Roman"/>
                <w:b w:val="0"/>
                <w:i w:val="0"/>
                <w:color w:val="333333"/>
                <w:sz w:val="16"/>
              </w:rPr>
              <w:t>492</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AImE / Mustango / JEN-1</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(akademik)</w:t>
            </w:r>
          </w:p>
        </w:tc>
        <w:tc>
          <w:tcPr>
            <w:tcW w:type="dxa" w:w="2551"/>
            <w:shd w:val="clear" w:color="auto" w:fill="F5F0E8"/>
          </w:tcPr>
          <w:p>
            <w:pPr>
              <w:jc w:val="center"/>
            </w:pPr>
            <w:r/>
            <w:r>
              <w:rPr>
                <w:rFonts w:ascii="Times New Roman" w:hAnsi="Times New Roman" w:cs="Times New Roman" w:eastAsia="Times New Roman"/>
                <w:b w:val="0"/>
                <w:i w:val="0"/>
                <w:color w:val="333333"/>
                <w:sz w:val="16"/>
              </w:rPr>
              <w:t>204</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Toplam</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c>
          <w:tcPr>
            <w:tcW w:type="dxa" w:w="2551"/>
            <w:shd w:val="clear" w:color="auto" w:fill="FFFFFF"/>
          </w:tcPr>
          <w:p>
            <w:pPr>
              <w:jc w:val="center"/>
            </w:pPr>
            <w:r/>
            <w:r>
              <w:rPr>
                <w:rFonts w:ascii="Times New Roman" w:hAnsi="Times New Roman" w:cs="Times New Roman" w:eastAsia="Times New Roman"/>
                <w:b w:val="0"/>
                <w:i w:val="0"/>
                <w:color w:val="333333"/>
                <w:sz w:val="16"/>
              </w:rPr>
              <w:t>5.195</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r>
    </w:tbl>
    <w:p>
      <w:pPr>
        <w:spacing w:after="160"/>
      </w:pPr>
    </w:p>
    <w:p>
      <w:pPr>
        <w:spacing w:before="160" w:after="40" w:line="360" w:lineRule="auto"/>
        <w:jc w:val="left"/>
        <w:keepNext/>
      </w:pPr>
      <w:r>
        <w:rPr>
          <w:rFonts w:ascii="Times New Roman" w:hAnsi="Times New Roman" w:cs="Times New Roman" w:eastAsia="Times New Roman"/>
          <w:b/>
          <w:i/>
          <w:color w:val="333333"/>
          <w:sz w:val="18"/>
        </w:rPr>
        <w:t>2.2. Öznitelik Çıkarma (Feature Extraction)</w:t>
      </w:r>
    </w:p>
    <w:p>
      <w:pPr>
        <w:spacing w:line="360" w:lineRule="auto" w:before="0" w:after="120"/>
        <w:ind w:firstLine="283"/>
        <w:jc w:val="both"/>
      </w:pPr>
      <w:r>
        <w:rPr>
          <w:rFonts w:ascii="Times New Roman" w:hAnsi="Times New Roman" w:cs="Times New Roman" w:eastAsia="Times New Roman"/>
          <w:b w:val="0"/>
          <w:i w:val="0"/>
          <w:color w:val="333333"/>
          <w:sz w:val="18"/>
        </w:rPr>
        <w:t>Tüm ML/DL modelleri sayısal verilerle çalışmaktadır. Bu nedenle, kullanılan veri kümesindeki ses parçalarının ayırt edici sayısal özniteliklerle temsil edilmesi gerekmektedir. Bu amaçla her ses parçası, 22.050 Hz örnekleme hızında yeniden örneklenmiş ve librosa [28] kütüphanesi kullanılarak 47 boyutlu bir öznitelik vektörüne dönüştürülmüştür. Elde edilen öznitelik vektörü, akustik karakteristikleri kapsamlı biçimde temsil edebilmek amacıyla dört aileye ayrılmıştır. (𝑖) Spektral aile (16 öznitelik), her bir özniteliğin ortalama ve standart sapması olmak üzere spektral merkezleme (spectral centroid), spektral düzlük (spectral flatness), spektral bant genişliği (spectral bandwidth), spektral kontrast (spectral contrast), spektral azalma (spectral rolloff) ve mel düzlüğünü içermektedir. (𝑖𝑖) Zamansal aile (10 öznitelik) yüksekliği ve zamanlamayı kapsamakta olup şu öznitelikleri içermektedir: Kök Ortalama Kare (Root Mean Square-RMS) enerji ve standart sapması, RMS dinamik aralığı, başlangıç gücü ortalaması ve standart sapması, sıfır geçiş oranı (zero crossing rate) ve standart sapması, tempo (BPM), tempo kararlılığı, tempo varyasyon katsayısı ile vuruş sayısı. (𝑖𝑖𝑖) Harmonik ve tonal aile (9 öznitelik), chroma standart sapması, chroma entropi, chroma geçiş oranı, tonnetz standart sapması, harmonik oran, kompozit harmonik-yapı skoru, mel düzlüğü, ortalama perde (Hz) ve perde standart sapmasını (cent cinsinden) raporlamaktadır. (𝑖𝑣) MFCC ailesi (3 öznitelik), MFCC varyansı ile birinci ve ikinci derece delta varyanslarından oluşmaktadır. (𝑣) Vokal aile (9 öznitelik) ise vokal varlık skoru, vokal güven, vokal AI skoru, perde kararlılığı, vibrato düzenliliği, formant tutarlılığı, nefes düzeni, vokal doku ve vokal harmonik oranı niceliklerini ölçmektedir. İlk sekiz öznitelik için insan ve GenAI örneklerinin dağılımları karşılaştırmalı olarak Şekil 2'de gösterilmiştir.</w:t>
      </w:r>
    </w:p>
    <w:p>
      <w:pPr>
        <w:spacing w:before="200" w:after="40"/>
        <w:jc w:val="center"/>
        <w:keepNext/>
      </w:pPr>
      <w:r>
        <w:drawing>
          <wp:inline xmlns:a="http://schemas.openxmlformats.org/drawingml/2006/main" xmlns:pic="http://schemas.openxmlformats.org/drawingml/2006/picture">
            <wp:extent cx="3060000" cy="1665489"/>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3060000" cy="1665489"/>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2. LightGBM önemine göre sıralanmış ilk sekiz özniteliğin insan (yeşil) ile yapay zekâ (kırmızı) örnekleri için dağılımı. Spektral düzlük panelleri log-eksen ile gösterilmiştir.</w:t>
      </w:r>
    </w:p>
    <w:p>
      <w:pPr>
        <w:spacing w:before="0" w:after="160"/>
        <w:jc w:val="center"/>
      </w:pPr>
      <w:r>
        <w:rPr>
          <w:rFonts w:ascii="Times New Roman" w:hAnsi="Times New Roman" w:cs="Times New Roman" w:eastAsia="Times New Roman"/>
          <w:b w:val="0"/>
          <w:i/>
          <w:color w:val="333333"/>
          <w:sz w:val="18"/>
        </w:rPr>
        <w:t>(Distribution of the top eight features by LightGBM importance, human (green) versus AI (red). The spectral flatness panels use a log x-axis.)</w:t>
      </w:r>
    </w:p>
    <w:p>
      <w:pPr>
        <w:spacing w:before="160" w:after="40" w:line="360" w:lineRule="auto"/>
        <w:jc w:val="left"/>
        <w:keepNext/>
      </w:pPr>
      <w:r>
        <w:rPr>
          <w:rFonts w:ascii="Times New Roman" w:hAnsi="Times New Roman" w:cs="Times New Roman" w:eastAsia="Times New Roman"/>
          <w:b/>
          <w:i/>
          <w:color w:val="333333"/>
          <w:sz w:val="18"/>
        </w:rPr>
        <w:t>2.3. Sınıflandırma Modelleri (Classification Models)</w:t>
      </w:r>
    </w:p>
    <w:p>
      <w:pPr>
        <w:spacing w:line="360" w:lineRule="auto" w:before="0" w:after="120"/>
        <w:ind w:firstLine="283"/>
        <w:jc w:val="both"/>
      </w:pPr>
      <w:r>
        <w:rPr>
          <w:rFonts w:ascii="Times New Roman" w:hAnsi="Times New Roman" w:cs="Times New Roman" w:eastAsia="Times New Roman"/>
          <w:b w:val="0"/>
          <w:i w:val="0"/>
          <w:color w:val="333333"/>
          <w:sz w:val="18"/>
        </w:rPr>
        <w:t>On bir sınıflandırma modeli, ortak bir 5-katlı çapraz doğrulama protokolü altında karşılaştırılmıştır. Yedi makine öğrenmesi modeli scikit-learn [29] kütüphanesi kullanılarak uygulanmıştır: dengeli sınıf ağırlığı ile Lojistik Regresyon (C=2,0), balanced_subsample örnekleme ile Rastgele Orman (n_estimators=500), Gradyan Artırma (n_estimators=180, max_depth=4, learning_rate=0,07), RBF çekirdeği ile destek vektör makinesi SVM (C=10,0, gamma=0,05), ÇKA Sinir Ağı, XGBoost [9] ve LightGBM [10]. SVM, izotonik kalibrasyon ile CalibratedClassifierCV içinde sarılarak diğer modellerle uyumlu olasılık çıktısı sağlanmıştır. Dört derin öğrenme mimarisi PyTorch ile uygulanmıştır: Deep MLP (512-256-128-64 boyutlu katmanlar, BatchNorm ve Dropout), 1D-CNN (öznitelik vektörü üzerinde tek boyutlu konvolüsyon), Residual MLP (üç bloklu artık bağlantılar) ve Attention MLP (öznitelik grupları üzerinde öz-dikkat mekanizması). Tüm derin modeller pos_weight ile ağırlıklandırılmış BCEWithLogitsLoss kullanmakta ve Adam [30] optimizasyonu ile eğitilmektedir. Tablo 3 her modelin hiperparametrelerini özetlemektedir.</w:t>
      </w:r>
    </w:p>
    <w:p>
      <w:pPr>
        <w:spacing w:before="160" w:after="0"/>
        <w:jc w:val="center"/>
        <w:keepNext/>
      </w:pPr>
      <w:r>
        <w:rPr>
          <w:rFonts w:ascii="Times New Roman" w:hAnsi="Times New Roman" w:cs="Times New Roman" w:eastAsia="Times New Roman"/>
          <w:b/>
          <w:i w:val="0"/>
          <w:color w:val="333333"/>
          <w:sz w:val="18"/>
        </w:rPr>
        <w:t>Tablo 3. On bir modelin temel hiperparametreleri</w:t>
      </w:r>
    </w:p>
    <w:p>
      <w:pPr>
        <w:spacing w:before="0" w:after="40"/>
        <w:jc w:val="center"/>
        <w:keepNext/>
      </w:pPr>
      <w:r>
        <w:rPr>
          <w:rFonts w:ascii="Times New Roman" w:hAnsi="Times New Roman" w:cs="Times New Roman" w:eastAsia="Times New Roman"/>
          <w:b w:val="0"/>
          <w:i/>
          <w:color w:val="333333"/>
          <w:sz w:val="18"/>
        </w:rPr>
        <w:t>(Key hyperparameters of the eleven models)</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Model</w:t>
            </w:r>
          </w:p>
        </w:tc>
        <w:tc>
          <w:tcPr>
            <w:tcW w:type="dxa" w:w="3402"/>
            <w:shd w:val="clear" w:color="auto" w:fill="C99347"/>
          </w:tcPr>
          <w:p>
            <w:pPr>
              <w:jc w:val="center"/>
            </w:pPr>
            <w:r/>
            <w:r>
              <w:rPr>
                <w:rFonts w:ascii="Times New Roman" w:hAnsi="Times New Roman" w:cs="Times New Roman" w:eastAsia="Times New Roman"/>
                <w:b/>
                <w:i w:val="0"/>
                <w:color w:val="FFFFFF"/>
                <w:sz w:val="16"/>
              </w:rPr>
              <w:t>Tip</w:t>
            </w:r>
          </w:p>
        </w:tc>
        <w:tc>
          <w:tcPr>
            <w:tcW w:type="dxa" w:w="3402"/>
            <w:shd w:val="clear" w:color="auto" w:fill="C99347"/>
          </w:tcPr>
          <w:p>
            <w:pPr>
              <w:jc w:val="center"/>
            </w:pPr>
            <w:r/>
            <w:r>
              <w:rPr>
                <w:rFonts w:ascii="Times New Roman" w:hAnsi="Times New Roman" w:cs="Times New Roman" w:eastAsia="Times New Roman"/>
                <w:b/>
                <w:i w:val="0"/>
                <w:color w:val="FFFFFF"/>
                <w:sz w:val="16"/>
              </w:rPr>
              <w:t>Temel Hiperparametreler</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C=2,0; max_iter=2500; class_weight=balanced</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n_estimators=500; max_features=log2</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n_estimators=180; max_depth=4; lr=0,07</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C=10,0; gamma=0,05; izotonik kalibrasyon</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Gizli katmanlar: 128-64; relu; adam</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n_estimators=400; lr=0,05; max_depth=6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n_estimators=400; lr=0,05; num_leaves=31</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Deep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512-256-128-64; BatchNorm; Dropout</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1D-CNN</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Conv1D katmanları; max_pool; global avg</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Residual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3 artık blok; her blok: 256-256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Öz-dikkat; 4 baş; gizli 128</w:t>
            </w:r>
          </w:p>
        </w:tc>
      </w:tr>
    </w:tbl>
    <w:p>
      <w:pPr>
        <w:spacing w:after="160"/>
      </w:pPr>
    </w:p>
    <w:p>
      <w:pPr>
        <w:spacing w:before="160" w:after="40" w:line="360" w:lineRule="auto"/>
        <w:jc w:val="left"/>
        <w:keepNext/>
      </w:pPr>
      <w:r>
        <w:rPr>
          <w:rFonts w:ascii="Times New Roman" w:hAnsi="Times New Roman" w:cs="Times New Roman" w:eastAsia="Times New Roman"/>
          <w:b/>
          <w:i/>
          <w:color w:val="333333"/>
          <w:sz w:val="18"/>
        </w:rPr>
        <w:t>2.4. Eğitim Protokolü ve Eşik Optimizasyonu (Training Protocol and Threshold Optimisation)</w:t>
      </w:r>
    </w:p>
    <w:p>
      <w:pPr>
        <w:spacing w:line="360" w:lineRule="auto" w:before="0" w:after="120"/>
        <w:ind w:firstLine="283"/>
        <w:jc w:val="both"/>
      </w:pPr>
      <w:r>
        <w:rPr>
          <w:rFonts w:ascii="Times New Roman" w:hAnsi="Times New Roman" w:cs="Times New Roman" w:eastAsia="Times New Roman"/>
          <w:b w:val="0"/>
          <w:i w:val="0"/>
          <w:color w:val="333333"/>
          <w:sz w:val="18"/>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Denklem (1). Bu maksimizasyon, duyarlılık ile özgüllüğün toplamını maksimize eden eşiği seçer. LightGBM için Youden-optimal eşik θ* = 0,4316 olarak ölçülmüştür ve aşağıdaki tüm sonuçlar bu eşik altında raporlanmıştır. Olasılıkların kalibrasyon kalitesi Brier skoru ile değerlendirilmiştir, Denklem (2): BS = (1/N) Σᵢ (pᵢ - yᵢ)².</w:t>
      </w:r>
    </w:p>
    <w:p>
      <w:pPr>
        <w:spacing w:line="360" w:lineRule="auto" w:before="0" w:after="120"/>
        <w:ind w:firstLine="283"/>
        <w:jc w:val="both"/>
      </w:pPr>
      <w:r>
        <w:rPr>
          <w:rFonts w:ascii="Times New Roman" w:hAnsi="Times New Roman" w:cs="Times New Roman" w:eastAsia="Times New Roman"/>
          <w:b w:val="0"/>
          <w:i w:val="0"/>
          <w:color w:val="333333"/>
          <w:sz w:val="18"/>
        </w:rPr>
        <w:t>Modellerin yorumlanabilirliği, LightGBM üzerinde TreeSHAP [11] algoritması kullanılarak analiz edilmiştir. SHAP değerleri, her özniteliğin tahmine katkısını Shapley değerleri çerçevesinde tutarlı biçimde nicelleştirmektedir.</w:t>
      </w:r>
    </w:p>
    <w:p>
      <w:pPr>
        <w:spacing w:before="240" w:after="80" w:line="360" w:lineRule="auto"/>
        <w:jc w:val="left"/>
        <w:keepNext/>
      </w:pPr>
      <w:r>
        <w:rPr>
          <w:rFonts w:ascii="Times New Roman" w:hAnsi="Times New Roman" w:cs="Times New Roman" w:eastAsia="Times New Roman"/>
          <w:b/>
          <w:i w:val="0"/>
          <w:color w:val="333333"/>
          <w:sz w:val="18"/>
        </w:rPr>
        <w:t>3. Sonuçlar ve Tartışmalar (Results and Discussions)</w:t>
      </w:r>
    </w:p>
    <w:p>
      <w:pPr>
        <w:spacing w:before="160" w:after="40" w:line="360" w:lineRule="auto"/>
        <w:jc w:val="left"/>
        <w:keepNext/>
      </w:pPr>
      <w:r>
        <w:rPr>
          <w:rFonts w:ascii="Times New Roman" w:hAnsi="Times New Roman" w:cs="Times New Roman" w:eastAsia="Times New Roman"/>
          <w:b/>
          <w:i/>
          <w:color w:val="333333"/>
          <w:sz w:val="18"/>
        </w:rPr>
        <w:t>3.1. Genel Model Performansı (Overall Model Performance)</w:t>
      </w:r>
    </w:p>
    <w:p>
      <w:pPr>
        <w:spacing w:line="360" w:lineRule="auto" w:before="0" w:after="120"/>
        <w:ind w:firstLine="283"/>
        <w:jc w:val="both"/>
      </w:pPr>
      <w:r>
        <w:rPr>
          <w:rFonts w:ascii="Times New Roman" w:hAnsi="Times New Roman" w:cs="Times New Roman" w:eastAsia="Times New Roman"/>
          <w:b w:val="0"/>
          <w:i w:val="0"/>
          <w:color w:val="333333"/>
          <w:sz w:val="18"/>
        </w:rPr>
        <w:t>Tablo 4, on bir modelin 5-katlı çapraz doğrulama sonuçlarını ROC-AUC'a göre sıralanmış biçimde sunmaktadır. LightGBM, %95,48 ortalama ROC-AUC değeri ile ilk sırada yer almakta ve Deep MLP %95,42 ile çok yakın bir ikinci sıra elde etmektedir; iki model arasındaki fark yalnızca 0,0006 AUC mertebesindedir. Üçüncü sıradaki XGBoost (%94,65) ve dördüncü sıradaki Residual MLP (%94,85) ile birlikte ilk dört modelin tamamı %94 üzerindeki ROC-AUC değerleriyle birbirine yakın performans göstermektedir. 1D-CNN, %85,43 ile en düşük performansı sergilemiştir; bu sonuç §3.10'da tartışılmaktadır. Şekil 3, dört derin öğrenme mimarisi için epok bazlı eğitim eğrilerini göstermektedir.</w:t>
      </w:r>
    </w:p>
    <w:p>
      <w:pPr>
        <w:spacing w:before="160" w:after="0"/>
        <w:jc w:val="center"/>
        <w:keepNext/>
      </w:pPr>
      <w:r>
        <w:rPr>
          <w:rFonts w:ascii="Times New Roman" w:hAnsi="Times New Roman" w:cs="Times New Roman" w:eastAsia="Times New Roman"/>
          <w:b/>
          <w:i w:val="0"/>
          <w:color w:val="333333"/>
          <w:sz w:val="18"/>
        </w:rPr>
        <w:t>Tablo 4. On bir sınıflandırıcının 5-katlı çapraz doğrulama sonuçları (ROC-AUC'a göre sıralı)</w:t>
      </w:r>
    </w:p>
    <w:p>
      <w:pPr>
        <w:spacing w:before="0" w:after="40"/>
        <w:jc w:val="center"/>
        <w:keepNext/>
      </w:pPr>
      <w:r>
        <w:rPr>
          <w:rFonts w:ascii="Times New Roman" w:hAnsi="Times New Roman" w:cs="Times New Roman" w:eastAsia="Times New Roman"/>
          <w:b w:val="0"/>
          <w:i/>
          <w:color w:val="333333"/>
          <w:sz w:val="18"/>
        </w:rPr>
        <w:t>(5-fold cross-validation results of the eleven classifiers, sorted by ROC-AUC)</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C99347"/>
          </w:tcPr>
          <w:p>
            <w:pPr>
              <w:jc w:val="center"/>
            </w:pPr>
            <w:r/>
            <w:r>
              <w:rPr>
                <w:rFonts w:ascii="Times New Roman" w:hAnsi="Times New Roman" w:cs="Times New Roman" w:eastAsia="Times New Roman"/>
                <w:b/>
                <w:i w:val="0"/>
                <w:color w:val="FFFFFF"/>
                <w:sz w:val="16"/>
              </w:rPr>
              <w:t>Sıra</w:t>
            </w:r>
          </w:p>
        </w:tc>
        <w:tc>
          <w:tcPr>
            <w:tcW w:type="dxa" w:w="1458"/>
            <w:shd w:val="clear" w:color="auto" w:fill="C99347"/>
          </w:tcPr>
          <w:p>
            <w:pPr>
              <w:jc w:val="center"/>
            </w:pPr>
            <w:r/>
            <w:r>
              <w:rPr>
                <w:rFonts w:ascii="Times New Roman" w:hAnsi="Times New Roman" w:cs="Times New Roman" w:eastAsia="Times New Roman"/>
                <w:b/>
                <w:i w:val="0"/>
                <w:color w:val="FFFFFF"/>
                <w:sz w:val="16"/>
              </w:rPr>
              <w:t>Model</w:t>
            </w:r>
          </w:p>
        </w:tc>
        <w:tc>
          <w:tcPr>
            <w:tcW w:type="dxa" w:w="1458"/>
            <w:shd w:val="clear" w:color="auto" w:fill="C99347"/>
          </w:tcPr>
          <w:p>
            <w:pPr>
              <w:jc w:val="center"/>
            </w:pPr>
            <w:r/>
            <w:r>
              <w:rPr>
                <w:rFonts w:ascii="Times New Roman" w:hAnsi="Times New Roman" w:cs="Times New Roman" w:eastAsia="Times New Roman"/>
                <w:b/>
                <w:i w:val="0"/>
                <w:color w:val="FFFFFF"/>
                <w:sz w:val="16"/>
              </w:rPr>
              <w:t>Tip</w:t>
            </w:r>
          </w:p>
        </w:tc>
        <w:tc>
          <w:tcPr>
            <w:tcW w:type="dxa" w:w="1458"/>
            <w:shd w:val="clear" w:color="auto" w:fill="C99347"/>
          </w:tcPr>
          <w:p>
            <w:pPr>
              <w:jc w:val="center"/>
            </w:pPr>
            <w:r/>
            <w:r>
              <w:rPr>
                <w:rFonts w:ascii="Times New Roman" w:hAnsi="Times New Roman" w:cs="Times New Roman" w:eastAsia="Times New Roman"/>
                <w:b/>
                <w:i w:val="0"/>
                <w:color w:val="FFFFFF"/>
                <w:sz w:val="16"/>
              </w:rPr>
              <w:t>Doğruluk</w:t>
            </w:r>
          </w:p>
        </w:tc>
        <w:tc>
          <w:tcPr>
            <w:tcW w:type="dxa" w:w="1458"/>
            <w:shd w:val="clear" w:color="auto" w:fill="C99347"/>
          </w:tcPr>
          <w:p>
            <w:pPr>
              <w:jc w:val="center"/>
            </w:pPr>
            <w:r/>
            <w:r>
              <w:rPr>
                <w:rFonts w:ascii="Times New Roman" w:hAnsi="Times New Roman" w:cs="Times New Roman" w:eastAsia="Times New Roman"/>
                <w:b/>
                <w:i w:val="0"/>
                <w:color w:val="FFFFFF"/>
                <w:sz w:val="16"/>
              </w:rPr>
              <w:t>F1</w:t>
            </w:r>
          </w:p>
        </w:tc>
        <w:tc>
          <w:tcPr>
            <w:tcW w:type="dxa" w:w="1458"/>
            <w:shd w:val="clear" w:color="auto" w:fill="C99347"/>
          </w:tcPr>
          <w:p>
            <w:pPr>
              <w:jc w:val="center"/>
            </w:pPr>
            <w:r/>
            <w:r>
              <w:rPr>
                <w:rFonts w:ascii="Times New Roman" w:hAnsi="Times New Roman" w:cs="Times New Roman" w:eastAsia="Times New Roman"/>
                <w:b/>
                <w:i w:val="0"/>
                <w:color w:val="FFFFFF"/>
                <w:sz w:val="16"/>
              </w:rPr>
              <w:t>ROC-AUC</w:t>
            </w:r>
          </w:p>
        </w:tc>
        <w:tc>
          <w:tcPr>
            <w:tcW w:type="dxa" w:w="1458"/>
            <w:shd w:val="clear" w:color="auto" w:fill="C99347"/>
          </w:tcPr>
          <w:p>
            <w:pPr>
              <w:jc w:val="center"/>
            </w:pPr>
            <w:r/>
            <w:r>
              <w:rPr>
                <w:rFonts w:ascii="Times New Roman" w:hAnsi="Times New Roman" w:cs="Times New Roman" w:eastAsia="Times New Roman"/>
                <w:b/>
                <w:i w:val="0"/>
                <w:color w:val="FFFFFF"/>
                <w:sz w:val="16"/>
              </w:rPr>
              <w:t>θ*</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w:t>
            </w:r>
          </w:p>
        </w:tc>
        <w:tc>
          <w:tcPr>
            <w:tcW w:type="dxa" w:w="1458"/>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0,8839</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0,8575</w:t>
            </w:r>
          </w:p>
        </w:tc>
        <w:tc>
          <w:tcPr>
            <w:tcW w:type="dxa" w:w="1458"/>
            <w:shd w:val="clear" w:color="auto" w:fill="FFFFFF"/>
          </w:tcPr>
          <w:p>
            <w:pPr>
              <w:jc w:val="center"/>
            </w:pPr>
            <w:r/>
            <w:r>
              <w:rPr>
                <w:rFonts w:ascii="Times New Roman" w:hAnsi="Times New Roman" w:cs="Times New Roman" w:eastAsia="Times New Roman"/>
                <w:b w:val="0"/>
                <w:i w:val="0"/>
                <w:color w:val="333333"/>
                <w:sz w:val="16"/>
              </w:rPr>
              <w:t>0,9548</w:t>
            </w:r>
          </w:p>
        </w:tc>
        <w:tc>
          <w:tcPr>
            <w:tcW w:type="dxa" w:w="1458"/>
            <w:shd w:val="clear" w:color="auto" w:fill="FFFFFF"/>
          </w:tcPr>
          <w:p>
            <w:pPr>
              <w:jc w:val="center"/>
            </w:pPr>
            <w:r/>
            <w:r>
              <w:rPr>
                <w:rFonts w:ascii="Times New Roman" w:hAnsi="Times New Roman" w:cs="Times New Roman" w:eastAsia="Times New Roman"/>
                <w:b w:val="0"/>
                <w:i w:val="0"/>
                <w:color w:val="333333"/>
                <w:sz w:val="16"/>
              </w:rPr>
              <w:t>0,4316</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2</w:t>
            </w:r>
          </w:p>
        </w:tc>
        <w:tc>
          <w:tcPr>
            <w:tcW w:type="dxa" w:w="1458"/>
            <w:shd w:val="clear" w:color="auto" w:fill="F5F0E8"/>
          </w:tcPr>
          <w:p>
            <w:pPr>
              <w:jc w:val="center"/>
            </w:pPr>
            <w:r/>
            <w:r>
              <w:rPr>
                <w:rFonts w:ascii="Times New Roman" w:hAnsi="Times New Roman" w:cs="Times New Roman" w:eastAsia="Times New Roman"/>
                <w:b w:val="0"/>
                <w:i w:val="0"/>
                <w:color w:val="333333"/>
                <w:sz w:val="16"/>
              </w:rPr>
              <w:t>Deep MLP (512-256-128-64)</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0,8849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0,8596</w:t>
            </w:r>
          </w:p>
        </w:tc>
        <w:tc>
          <w:tcPr>
            <w:tcW w:type="dxa" w:w="1458"/>
            <w:shd w:val="clear" w:color="auto" w:fill="F5F0E8"/>
          </w:tcPr>
          <w:p>
            <w:pPr>
              <w:jc w:val="center"/>
            </w:pPr>
            <w:r/>
            <w:r>
              <w:rPr>
                <w:rFonts w:ascii="Times New Roman" w:hAnsi="Times New Roman" w:cs="Times New Roman" w:eastAsia="Times New Roman"/>
                <w:b w:val="0"/>
                <w:i w:val="0"/>
                <w:color w:val="333333"/>
                <w:sz w:val="16"/>
              </w:rPr>
              <w:t>0,9542</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3</w:t>
            </w:r>
          </w:p>
        </w:tc>
        <w:tc>
          <w:tcPr>
            <w:tcW w:type="dxa" w:w="1458"/>
            <w:shd w:val="clear" w:color="auto" w:fill="FFFFFF"/>
          </w:tcPr>
          <w:p>
            <w:pPr>
              <w:jc w:val="center"/>
            </w:pPr>
            <w:r/>
            <w:r>
              <w:rPr>
                <w:rFonts w:ascii="Times New Roman" w:hAnsi="Times New Roman" w:cs="Times New Roman" w:eastAsia="Times New Roman"/>
                <w:b w:val="0"/>
                <w:i w:val="0"/>
                <w:color w:val="333333"/>
                <w:sz w:val="16"/>
              </w:rPr>
              <w:t>Residual MLP (3 blok)</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0,8756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0,8476</w:t>
            </w:r>
          </w:p>
        </w:tc>
        <w:tc>
          <w:tcPr>
            <w:tcW w:type="dxa" w:w="1458"/>
            <w:shd w:val="clear" w:color="auto" w:fill="FFFFFF"/>
          </w:tcPr>
          <w:p>
            <w:pPr>
              <w:jc w:val="center"/>
            </w:pPr>
            <w:r/>
            <w:r>
              <w:rPr>
                <w:rFonts w:ascii="Times New Roman" w:hAnsi="Times New Roman" w:cs="Times New Roman" w:eastAsia="Times New Roman"/>
                <w:b w:val="0"/>
                <w:i w:val="0"/>
                <w:color w:val="333333"/>
                <w:sz w:val="16"/>
              </w:rPr>
              <w:t>0,9485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4</w:t>
            </w:r>
          </w:p>
        </w:tc>
        <w:tc>
          <w:tcPr>
            <w:tcW w:type="dxa" w:w="1458"/>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0,8751</w:t>
            </w:r>
          </w:p>
        </w:tc>
        <w:tc>
          <w:tcPr>
            <w:tcW w:type="dxa" w:w="1458"/>
            <w:shd w:val="clear" w:color="auto" w:fill="F5F0E8"/>
          </w:tcPr>
          <w:p>
            <w:pPr>
              <w:jc w:val="center"/>
            </w:pPr>
            <w:r/>
            <w:r>
              <w:rPr>
                <w:rFonts w:ascii="Times New Roman" w:hAnsi="Times New Roman" w:cs="Times New Roman" w:eastAsia="Times New Roman"/>
                <w:b w:val="0"/>
                <w:i w:val="0"/>
                <w:color w:val="333333"/>
                <w:sz w:val="16"/>
              </w:rPr>
              <w:t>0,8408</w:t>
            </w:r>
          </w:p>
        </w:tc>
        <w:tc>
          <w:tcPr>
            <w:tcW w:type="dxa" w:w="1458"/>
            <w:shd w:val="clear" w:color="auto" w:fill="F5F0E8"/>
          </w:tcPr>
          <w:p>
            <w:pPr>
              <w:jc w:val="center"/>
            </w:pPr>
            <w:r/>
            <w:r>
              <w:rPr>
                <w:rFonts w:ascii="Times New Roman" w:hAnsi="Times New Roman" w:cs="Times New Roman" w:eastAsia="Times New Roman"/>
                <w:b w:val="0"/>
                <w:i w:val="0"/>
                <w:color w:val="333333"/>
                <w:sz w:val="16"/>
              </w:rPr>
              <w:t>0,9465</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5</w:t>
            </w:r>
          </w:p>
        </w:tc>
        <w:tc>
          <w:tcPr>
            <w:tcW w:type="dxa" w:w="1458"/>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0,8685</w:t>
            </w:r>
          </w:p>
        </w:tc>
        <w:tc>
          <w:tcPr>
            <w:tcW w:type="dxa" w:w="1458"/>
            <w:shd w:val="clear" w:color="auto" w:fill="FFFFFF"/>
          </w:tcPr>
          <w:p>
            <w:pPr>
              <w:jc w:val="center"/>
            </w:pPr>
            <w:r/>
            <w:r>
              <w:rPr>
                <w:rFonts w:ascii="Times New Roman" w:hAnsi="Times New Roman" w:cs="Times New Roman" w:eastAsia="Times New Roman"/>
                <w:b w:val="0"/>
                <w:i w:val="0"/>
                <w:color w:val="333333"/>
                <w:sz w:val="16"/>
              </w:rPr>
              <w:t>0,8337</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0,9397</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6</w:t>
            </w:r>
          </w:p>
        </w:tc>
        <w:tc>
          <w:tcPr>
            <w:tcW w:type="dxa" w:w="1458"/>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0,8606</w:t>
            </w:r>
          </w:p>
        </w:tc>
        <w:tc>
          <w:tcPr>
            <w:tcW w:type="dxa" w:w="1458"/>
            <w:shd w:val="clear" w:color="auto" w:fill="F5F0E8"/>
          </w:tcPr>
          <w:p>
            <w:pPr>
              <w:jc w:val="center"/>
            </w:pPr>
            <w:r/>
            <w:r>
              <w:rPr>
                <w:rFonts w:ascii="Times New Roman" w:hAnsi="Times New Roman" w:cs="Times New Roman" w:eastAsia="Times New Roman"/>
                <w:b w:val="0"/>
                <w:i w:val="0"/>
                <w:color w:val="333333"/>
                <w:sz w:val="16"/>
              </w:rPr>
              <w:t>0,8183</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0,9394</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7</w:t>
            </w:r>
          </w:p>
        </w:tc>
        <w:tc>
          <w:tcPr>
            <w:tcW w:type="dxa" w:w="1458"/>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0,8628</w:t>
            </w:r>
          </w:p>
        </w:tc>
        <w:tc>
          <w:tcPr>
            <w:tcW w:type="dxa" w:w="1458"/>
            <w:shd w:val="clear" w:color="auto" w:fill="FFFFFF"/>
          </w:tcPr>
          <w:p>
            <w:pPr>
              <w:jc w:val="center"/>
            </w:pPr>
            <w:r/>
            <w:r>
              <w:rPr>
                <w:rFonts w:ascii="Times New Roman" w:hAnsi="Times New Roman" w:cs="Times New Roman" w:eastAsia="Times New Roman"/>
                <w:b w:val="0"/>
                <w:i w:val="0"/>
                <w:color w:val="333333"/>
                <w:sz w:val="16"/>
              </w:rPr>
              <w:t>0,8293</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0,9359</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8</w:t>
            </w:r>
          </w:p>
        </w:tc>
        <w:tc>
          <w:tcPr>
            <w:tcW w:type="dxa" w:w="1458"/>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0,8612</w:t>
            </w:r>
          </w:p>
        </w:tc>
        <w:tc>
          <w:tcPr>
            <w:tcW w:type="dxa" w:w="1458"/>
            <w:shd w:val="clear" w:color="auto" w:fill="F5F0E8"/>
          </w:tcPr>
          <w:p>
            <w:pPr>
              <w:jc w:val="center"/>
            </w:pPr>
            <w:r/>
            <w:r>
              <w:rPr>
                <w:rFonts w:ascii="Times New Roman" w:hAnsi="Times New Roman" w:cs="Times New Roman" w:eastAsia="Times New Roman"/>
                <w:b w:val="0"/>
                <w:i w:val="0"/>
                <w:color w:val="333333"/>
                <w:sz w:val="16"/>
              </w:rPr>
              <w:t>0,8252</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0,9346</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9</w:t>
            </w:r>
          </w:p>
        </w:tc>
        <w:tc>
          <w:tcPr>
            <w:tcW w:type="dxa" w:w="1458"/>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0,8566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0,8189</w:t>
            </w:r>
          </w:p>
        </w:tc>
        <w:tc>
          <w:tcPr>
            <w:tcW w:type="dxa" w:w="1458"/>
            <w:shd w:val="clear" w:color="auto" w:fill="FFFFFF"/>
          </w:tcPr>
          <w:p>
            <w:pPr>
              <w:jc w:val="center"/>
            </w:pPr>
            <w:r/>
            <w:r>
              <w:rPr>
                <w:rFonts w:ascii="Times New Roman" w:hAnsi="Times New Roman" w:cs="Times New Roman" w:eastAsia="Times New Roman"/>
                <w:b w:val="0"/>
                <w:i w:val="0"/>
                <w:color w:val="333333"/>
                <w:sz w:val="16"/>
              </w:rPr>
              <w:t>0,9276</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10</w:t>
            </w:r>
          </w:p>
        </w:tc>
        <w:tc>
          <w:tcPr>
            <w:tcW w:type="dxa" w:w="1458"/>
            <w:shd w:val="clear" w:color="auto" w:fill="F5F0E8"/>
          </w:tcPr>
          <w:p>
            <w:pPr>
              <w:jc w:val="center"/>
            </w:pPr>
            <w:r/>
            <w:r>
              <w:rPr>
                <w:rFonts w:ascii="Times New Roman" w:hAnsi="Times New Roman" w:cs="Times New Roman" w:eastAsia="Times New Roman"/>
                <w:b w:val="0"/>
                <w:i w:val="0"/>
                <w:color w:val="333333"/>
                <w:sz w:val="16"/>
              </w:rPr>
              <w:t>1D-CNN</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0,7665</w:t>
            </w:r>
          </w:p>
        </w:tc>
        <w:tc>
          <w:tcPr>
            <w:tcW w:type="dxa" w:w="1458"/>
            <w:shd w:val="clear" w:color="auto" w:fill="F5F0E8"/>
          </w:tcPr>
          <w:p>
            <w:pPr>
              <w:jc w:val="center"/>
            </w:pPr>
            <w:r/>
            <w:r>
              <w:rPr>
                <w:rFonts w:ascii="Times New Roman" w:hAnsi="Times New Roman" w:cs="Times New Roman" w:eastAsia="Times New Roman"/>
                <w:b w:val="0"/>
                <w:i w:val="0"/>
                <w:color w:val="333333"/>
                <w:sz w:val="16"/>
              </w:rPr>
              <w:t>0,7159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0,8543</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11</w:t>
            </w:r>
          </w:p>
        </w:tc>
        <w:tc>
          <w:tcPr>
            <w:tcW w:type="dxa" w:w="1458"/>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0,7779</w:t>
            </w:r>
          </w:p>
        </w:tc>
        <w:tc>
          <w:tcPr>
            <w:tcW w:type="dxa" w:w="1458"/>
            <w:shd w:val="clear" w:color="auto" w:fill="FFFFFF"/>
          </w:tcPr>
          <w:p>
            <w:pPr>
              <w:jc w:val="center"/>
            </w:pPr>
            <w:r/>
            <w:r>
              <w:rPr>
                <w:rFonts w:ascii="Times New Roman" w:hAnsi="Times New Roman" w:cs="Times New Roman" w:eastAsia="Times New Roman"/>
                <w:b w:val="0"/>
                <w:i w:val="0"/>
                <w:color w:val="333333"/>
                <w:sz w:val="16"/>
              </w:rPr>
              <w:t>0,7390</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0,8515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bl>
    <w:p>
      <w:pPr>
        <w:spacing w:after="160"/>
      </w:pPr>
    </w:p>
    <w:p>
      <w:pPr>
        <w:spacing w:before="200" w:after="40"/>
        <w:jc w:val="center"/>
        <w:keepNext/>
      </w:pPr>
      <w:r>
        <w:drawing>
          <wp:inline xmlns:a="http://schemas.openxmlformats.org/drawingml/2006/main" xmlns:pic="http://schemas.openxmlformats.org/drawingml/2006/picture">
            <wp:extent cx="2880000" cy="1424601"/>
            <wp:docPr id="3" name="Picture 3"/>
            <wp:cNvGraphicFramePr>
              <a:graphicFrameLocks noChangeAspect="1"/>
            </wp:cNvGraphicFramePr>
            <a:graphic>
              <a:graphicData uri="http://schemas.openxmlformats.org/drawingml/2006/picture">
                <pic:pic>
                  <pic:nvPicPr>
                    <pic:cNvPr id="0" name="paper_model_comparison.png"/>
                    <pic:cNvPicPr/>
                  </pic:nvPicPr>
                  <pic:blipFill>
                    <a:blip r:embed="rId11"/>
                    <a:stretch>
                      <a:fillRect/>
                    </a:stretch>
                  </pic:blipFill>
                  <pic:spPr>
                    <a:xfrm>
                      <a:off x="0" y="0"/>
                      <a:ext cx="2880000" cy="14246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3. On bir sınıflandırıcının doğruluk, F1 ve ROC-AUC değerlerinin AUC'a göre azalan sırayla karşılaştırılması.</w:t>
      </w:r>
    </w:p>
    <w:p>
      <w:pPr>
        <w:spacing w:before="0" w:after="160"/>
        <w:jc w:val="center"/>
      </w:pPr>
      <w:r>
        <w:rPr>
          <w:rFonts w:ascii="Times New Roman" w:hAnsi="Times New Roman" w:cs="Times New Roman" w:eastAsia="Times New Roman"/>
          <w:b w:val="0"/>
          <w:i/>
          <w:color w:val="333333"/>
          <w:sz w:val="18"/>
        </w:rPr>
        <w:t>(Comparison of accuracy, F1 and ROC-AUC across the eleven classifiers, sorted by AUC in descending order.)</w:t>
      </w:r>
    </w:p>
    <w:p>
      <w:pPr>
        <w:spacing w:before="200" w:after="40"/>
        <w:jc w:val="center"/>
        <w:keepNext/>
      </w:pPr>
      <w:r>
        <w:drawing>
          <wp:inline xmlns:a="http://schemas.openxmlformats.org/drawingml/2006/main" xmlns:pic="http://schemas.openxmlformats.org/drawingml/2006/picture">
            <wp:extent cx="3060000" cy="2558528"/>
            <wp:docPr id="4" name="Picture 4"/>
            <wp:cNvGraphicFramePr>
              <a:graphicFrameLocks noChangeAspect="1"/>
            </wp:cNvGraphicFramePr>
            <a:graphic>
              <a:graphicData uri="http://schemas.openxmlformats.org/drawingml/2006/picture">
                <pic:pic>
                  <pic:nvPicPr>
                    <pic:cNvPr id="0" name="paper_roc_curves.png"/>
                    <pic:cNvPicPr/>
                  </pic:nvPicPr>
                  <pic:blipFill>
                    <a:blip r:embed="rId12"/>
                    <a:stretch>
                      <a:fillRect/>
                    </a:stretch>
                  </pic:blipFill>
                  <pic:spPr>
                    <a:xfrm>
                      <a:off x="0" y="0"/>
                      <a:ext cx="3060000" cy="255852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4. Yedi öznitelik tabanlı sınıflandırıcının 5-katlı çapraz doğrulama ROC eğrileri. LightGBM AUC=0,9545 ile başı çekmekte; rastgele tahmin (AUC=0,500) referans olarak verilmiştir.</w:t>
      </w:r>
    </w:p>
    <w:p>
      <w:pPr>
        <w:spacing w:before="0" w:after="160"/>
        <w:jc w:val="center"/>
      </w:pPr>
      <w:r>
        <w:rPr>
          <w:rFonts w:ascii="Times New Roman" w:hAnsi="Times New Roman" w:cs="Times New Roman" w:eastAsia="Times New Roman"/>
          <w:b w:val="0"/>
          <w:i/>
          <w:color w:val="333333"/>
          <w:sz w:val="18"/>
        </w:rPr>
        <w:t>(ROC curves of the seven feature-based classifiers under 5-fold cross-validation. LightGBM leads with AUC=0.9545; random guessing (AUC=0.500) is shown as reference.)</w:t>
      </w:r>
    </w:p>
    <w:p>
      <w:pPr>
        <w:spacing w:before="200" w:after="40"/>
        <w:jc w:val="center"/>
        <w:keepNext/>
      </w:pPr>
      <w:r>
        <w:drawing>
          <wp:inline xmlns:a="http://schemas.openxmlformats.org/drawingml/2006/main" xmlns:pic="http://schemas.openxmlformats.org/drawingml/2006/picture">
            <wp:extent cx="2880000" cy="1725791"/>
            <wp:docPr id="5" name="Picture 5"/>
            <wp:cNvGraphicFramePr>
              <a:graphicFrameLocks noChangeAspect="1"/>
            </wp:cNvGraphicFramePr>
            <a:graphic>
              <a:graphicData uri="http://schemas.openxmlformats.org/drawingml/2006/picture">
                <pic:pic>
                  <pic:nvPicPr>
                    <pic:cNvPr id="0" name="all_models_heatmap.png"/>
                    <pic:cNvPicPr/>
                  </pic:nvPicPr>
                  <pic:blipFill>
                    <a:blip r:embed="rId13"/>
                    <a:stretch>
                      <a:fillRect/>
                    </a:stretch>
                  </pic:blipFill>
                  <pic:spPr>
                    <a:xfrm>
                      <a:off x="0" y="0"/>
                      <a:ext cx="2880000" cy="172579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5. On bir modelin doğruluk, kesinlik, duyarlılık, F1 ve ROC-AUC değerlerinin ısı haritası; her sütundaki en iyi değer kalın gösterilmiştir.</w:t>
      </w:r>
    </w:p>
    <w:p>
      <w:pPr>
        <w:spacing w:before="0" w:after="160"/>
        <w:jc w:val="center"/>
      </w:pPr>
      <w:r>
        <w:rPr>
          <w:rFonts w:ascii="Times New Roman" w:hAnsi="Times New Roman" w:cs="Times New Roman" w:eastAsia="Times New Roman"/>
          <w:b w:val="0"/>
          <w:i/>
          <w:color w:val="333333"/>
          <w:sz w:val="18"/>
        </w:rPr>
        <w:t>(Heatmap of accuracy, precision, recall, F1 and ROC-AUC across the eleven models; the best per column is shown in bold.)</w:t>
      </w:r>
    </w:p>
    <w:p>
      <w:pPr>
        <w:spacing w:before="160" w:after="40" w:line="360" w:lineRule="auto"/>
        <w:jc w:val="left"/>
        <w:keepNext/>
      </w:pPr>
      <w:r>
        <w:rPr>
          <w:rFonts w:ascii="Times New Roman" w:hAnsi="Times New Roman" w:cs="Times New Roman" w:eastAsia="Times New Roman"/>
          <w:b/>
          <w:i/>
          <w:color w:val="333333"/>
          <w:sz w:val="18"/>
        </w:rPr>
        <w:t>3.2. Makine Öğrenmesi ve Derin Öğrenme Karşılaştırması (ML versus DL Comparison)</w:t>
      </w:r>
    </w:p>
    <w:p>
      <w:pPr>
        <w:spacing w:line="360" w:lineRule="auto" w:before="0" w:after="120"/>
        <w:ind w:firstLine="283"/>
        <w:jc w:val="both"/>
      </w:pPr>
      <w:r>
        <w:rPr>
          <w:rFonts w:ascii="Times New Roman" w:hAnsi="Times New Roman" w:cs="Times New Roman" w:eastAsia="Times New Roman"/>
          <w:b w:val="0"/>
          <w:i w:val="0"/>
          <w:color w:val="333333"/>
          <w:sz w:val="18"/>
        </w:rPr>
        <w:t>Şekil 6, iki aileyi doğrudan karşılaştırmaktadır. Yedi makine öğrenmesi sınıflandırıcısı %92,75 ortalama ROC-AUC değerine ulaşırken, dört derin öğrenme mimarisi %92,32'de kalmaktadır; ancak bu fark esas olarak 1D-CNN'nin DL ortalamasını aşağı çekmesinden kaynaklanmaktadır. 1D-CNN dışlandığında, kalan üç DL mimarisi %94,62 ortalama elde etmekte ve Lojistik Regresyon dışlandığında ML ortalaması %94,02'ye yükselmektedir. Bu sonuç, 47 boyutlu öznitelik vektörünün ayırt edici bilginin büyük kısmını zaten kodladığını; öznitelik mühendisliğinin model kapasitesinden daha belirleyici bir etken olduğunu göstermektedir. Aynı öznitelik vektörünü giriş olarak alan derin modeller, bu öznitelikler içinde mevcut olmayan ayırt edici bilgiye erişememekte; bu bulgu Yi vd. [6] tarafından özetlenen ses derin sahte literatürüyle de tutarlıdır.</w:t>
      </w:r>
    </w:p>
    <w:p>
      <w:pPr>
        <w:spacing w:before="200" w:after="40"/>
        <w:jc w:val="center"/>
        <w:keepNext/>
      </w:pPr>
      <w:r>
        <w:drawing>
          <wp:inline xmlns:a="http://schemas.openxmlformats.org/drawingml/2006/main" xmlns:pic="http://schemas.openxmlformats.org/drawingml/2006/picture">
            <wp:extent cx="2880000" cy="1034410"/>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4"/>
                    <a:stretch>
                      <a:fillRect/>
                    </a:stretch>
                  </pic:blipFill>
                  <pic:spPr>
                    <a:xfrm>
                      <a:off x="0" y="0"/>
                      <a:ext cx="2880000" cy="103441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6. Makine öğrenmesi (altın) ve derin öğrenme (koyu) mimarilerinin doğruluk, ROC-AUC ve F1 değerleri açısından toplam karşılaştırması.</w:t>
      </w:r>
    </w:p>
    <w:p>
      <w:pPr>
        <w:spacing w:before="0" w:after="160"/>
        <w:jc w:val="center"/>
      </w:pPr>
      <w:r>
        <w:rPr>
          <w:rFonts w:ascii="Times New Roman" w:hAnsi="Times New Roman" w:cs="Times New Roman" w:eastAsia="Times New Roman"/>
          <w:b w:val="0"/>
          <w:i/>
          <w:color w:val="333333"/>
          <w:sz w:val="18"/>
        </w:rPr>
        <w:t>(Aggregate comparison of machine learning (gold) and deep learning (dark) architectures across accuracy, ROC-AUC and F1.)</w:t>
      </w:r>
    </w:p>
    <w:p>
      <w:pPr>
        <w:spacing w:before="200" w:after="40"/>
        <w:jc w:val="center"/>
        <w:keepNext/>
      </w:pPr>
      <w:r>
        <w:drawing>
          <wp:inline xmlns:a="http://schemas.openxmlformats.org/drawingml/2006/main" xmlns:pic="http://schemas.openxmlformats.org/drawingml/2006/picture">
            <wp:extent cx="3060000" cy="798050"/>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3060000" cy="7980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7. Dört derin öğrenme mimarisi için epok bazlı eğitim eğrileri; her panel beş katın ortalaması ve ±σ bant ile birlikte gösterilmektedir.</w:t>
      </w:r>
    </w:p>
    <w:p>
      <w:pPr>
        <w:spacing w:before="0" w:after="160"/>
        <w:jc w:val="center"/>
      </w:pPr>
      <w:r>
        <w:rPr>
          <w:rFonts w:ascii="Times New Roman" w:hAnsi="Times New Roman" w:cs="Times New Roman" w:eastAsia="Times New Roman"/>
          <w:b w:val="0"/>
          <w:i/>
          <w:color w:val="333333"/>
          <w:sz w:val="18"/>
        </w:rPr>
        <w:t>(Per-epoch training curves for the four deep learning architectures, mean across five folds with ±σ band.)</w:t>
      </w:r>
    </w:p>
    <w:p>
      <w:pPr>
        <w:spacing w:before="160" w:after="40" w:line="360" w:lineRule="auto"/>
        <w:jc w:val="left"/>
        <w:keepNext/>
      </w:pPr>
      <w:r>
        <w:rPr>
          <w:rFonts w:ascii="Times New Roman" w:hAnsi="Times New Roman" w:cs="Times New Roman" w:eastAsia="Times New Roman"/>
          <w:b/>
          <w:i/>
          <w:color w:val="333333"/>
          <w:sz w:val="18"/>
        </w:rPr>
        <w:t>3.3. Katlar-Arası Kararlılık (Cross-Fold Stability)</w:t>
      </w:r>
    </w:p>
    <w:p>
      <w:pPr>
        <w:spacing w:line="360" w:lineRule="auto" w:before="0" w:after="120"/>
        <w:ind w:firstLine="283"/>
        <w:jc w:val="both"/>
      </w:pPr>
      <w:r>
        <w:rPr>
          <w:rFonts w:ascii="Times New Roman" w:hAnsi="Times New Roman" w:cs="Times New Roman" w:eastAsia="Times New Roman"/>
          <w:b w:val="0"/>
          <w:i w:val="0"/>
          <w:color w:val="333333"/>
          <w:sz w:val="18"/>
        </w:rPr>
        <w:t>Şekil 8, on bir modelin her bir kat için ROC-AUC değerlerini, ortalamasını ve standart sapmasını sunmaktadır. LightGBM, ±0,0023 standart sapmasıyla havuzdaki en kararlı modeldir; beş katı 0,9515 ile 0,9580 arasında dar bir aralıkta değişmektedir. XGBoost (±0,0029) ve Gradyan Artırma (±0,0038) onu izlemektedir. En değişken modeller 1D-CNN (±0,0087) ve SVM-RBF (±0,0075) olmuştur. Kararlılığa göre sıralama, ortalama AUC sıralamasını yakından izlemekte; en yüksek skoru veren modeller aynı zamanda en az değişken olanlar olmaktadır. Bu örüntü, konuşlandırılabilir bir tespit sistemi için arzu edilen karakteristiği yansıtmaktadır.</w:t>
      </w:r>
    </w:p>
    <w:p>
      <w:pPr>
        <w:spacing w:before="200" w:after="40"/>
        <w:jc w:val="center"/>
        <w:keepNext/>
      </w:pPr>
      <w:r>
        <w:drawing>
          <wp:inline xmlns:a="http://schemas.openxmlformats.org/drawingml/2006/main" xmlns:pic="http://schemas.openxmlformats.org/drawingml/2006/picture">
            <wp:extent cx="3060000" cy="1733537"/>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3060000" cy="17335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8. On bir modelin her bir katı için ROC-AUC değerleri, ortalama AUC (azalan sırada) ve standart sapma. LightGBM hem en yüksek ortalamaya hem de en düşük katlar-arası varyansa sahiptir (±0,0023).</w:t>
      </w:r>
    </w:p>
    <w:p>
      <w:pPr>
        <w:spacing w:before="0" w:after="160"/>
        <w:jc w:val="center"/>
      </w:pPr>
      <w:r>
        <w:rPr>
          <w:rFonts w:ascii="Times New Roman" w:hAnsi="Times New Roman" w:cs="Times New Roman" w:eastAsia="Times New Roman"/>
          <w:b w:val="0"/>
          <w:i/>
          <w:color w:val="333333"/>
          <w:sz w:val="18"/>
        </w:rPr>
        <w:t>(Per-fold ROC-AUC for all eleven models, mean AUC (descending) and standard deviation. LightGBM combines the highest mean with the lowest fold-to-fold variance (±0.0023).)</w:t>
      </w:r>
    </w:p>
    <w:p>
      <w:pPr>
        <w:spacing w:before="160" w:after="40" w:line="360" w:lineRule="auto"/>
        <w:jc w:val="left"/>
        <w:keepNext/>
      </w:pPr>
      <w:r>
        <w:rPr>
          <w:rFonts w:ascii="Times New Roman" w:hAnsi="Times New Roman" w:cs="Times New Roman" w:eastAsia="Times New Roman"/>
          <w:b/>
          <w:i/>
          <w:color w:val="333333"/>
          <w:sz w:val="18"/>
        </w:rPr>
        <w:t>3.4. Öznitelik Önemi (Feature Importance)</w:t>
      </w:r>
    </w:p>
    <w:p>
      <w:pPr>
        <w:spacing w:line="360" w:lineRule="auto" w:before="0" w:after="120"/>
        <w:ind w:firstLine="283"/>
        <w:jc w:val="both"/>
      </w:pPr>
      <w:r>
        <w:rPr>
          <w:rFonts w:ascii="Times New Roman" w:hAnsi="Times New Roman" w:cs="Times New Roman" w:eastAsia="Times New Roman"/>
          <w:b w:val="0"/>
          <w:i w:val="0"/>
          <w:color w:val="333333"/>
          <w:sz w:val="18"/>
        </w:rPr>
        <w:t>Tablo 5, LightGBM modelinde normalleştirilmiş kazanca göre sıralanan ilk yirmi özniteliği listelemektedir. Spektral düzlük -hem kare başına standart sapma hem de ortalama olarak ölçülen- ilk beş içinde iki kez yer almakta, standart sapması belirgin bir farkla ilk sırayı oluşturmaktadır. Spektral kontrast ortalaması (sıra 2), RMS enerji (sıra 3) ve başlangıç gücü standart sapması (sıra 4) ilk grubu tamamlamaktadır. Vokal aile özniteliklerinin ilk yirmi içinde yalnızca breath_pattern_score (sıra 18) yer almaktadır; bu durum, vokal özniteliklerinin enstrümantal parçalarda anlamlı sinyal üretmemesi ile tutarlıdır. Şekil 9, ilk yirmi özniteliğin önem skorlarını çubuk grafik olarak; Şekil 10 ise TreeSHAP [11] tabanlı global etki dağılımını görselleştirmektedir.</w:t>
      </w:r>
    </w:p>
    <w:p>
      <w:pPr>
        <w:spacing w:before="160" w:after="0"/>
        <w:jc w:val="center"/>
        <w:keepNext/>
      </w:pPr>
      <w:r>
        <w:rPr>
          <w:rFonts w:ascii="Times New Roman" w:hAnsi="Times New Roman" w:cs="Times New Roman" w:eastAsia="Times New Roman"/>
          <w:b/>
          <w:i w:val="0"/>
          <w:color w:val="333333"/>
          <w:sz w:val="18"/>
        </w:rPr>
        <w:t>Tablo 5. LightGBM'in normalleştirilmiş kazanç önemine göre ilk on özniteliği</w:t>
      </w:r>
    </w:p>
    <w:p>
      <w:pPr>
        <w:spacing w:before="0" w:after="40"/>
        <w:jc w:val="center"/>
        <w:keepNext/>
      </w:pPr>
      <w:r>
        <w:rPr>
          <w:rFonts w:ascii="Times New Roman" w:hAnsi="Times New Roman" w:cs="Times New Roman" w:eastAsia="Times New Roman"/>
          <w:b w:val="0"/>
          <w:i/>
          <w:color w:val="333333"/>
          <w:sz w:val="18"/>
        </w:rPr>
        <w:t>(Top ten features ranked by LightGBM's normalised gain importance)</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Sıra</w:t>
            </w:r>
          </w:p>
        </w:tc>
        <w:tc>
          <w:tcPr>
            <w:tcW w:type="dxa" w:w="3402"/>
            <w:shd w:val="clear" w:color="auto" w:fill="C99347"/>
          </w:tcPr>
          <w:p>
            <w:pPr>
              <w:jc w:val="center"/>
            </w:pPr>
            <w:r/>
            <w:r>
              <w:rPr>
                <w:rFonts w:ascii="Times New Roman" w:hAnsi="Times New Roman" w:cs="Times New Roman" w:eastAsia="Times New Roman"/>
                <w:b/>
                <w:i w:val="0"/>
                <w:color w:val="FFFFFF"/>
                <w:sz w:val="16"/>
              </w:rPr>
              <w:t>Öznitelik</w:t>
            </w:r>
          </w:p>
        </w:tc>
        <w:tc>
          <w:tcPr>
            <w:tcW w:type="dxa" w:w="3402"/>
            <w:shd w:val="clear" w:color="auto" w:fill="C99347"/>
          </w:tcPr>
          <w:p>
            <w:pPr>
              <w:jc w:val="center"/>
            </w:pPr>
            <w:r/>
            <w:r>
              <w:rPr>
                <w:rFonts w:ascii="Times New Roman" w:hAnsi="Times New Roman" w:cs="Times New Roman" w:eastAsia="Times New Roman"/>
                <w:b/>
                <w:i w:val="0"/>
                <w:color w:val="FFFFFF"/>
                <w:sz w:val="16"/>
              </w:rPr>
              <w:t>Önem</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spectral_flatness_std</w:t>
            </w:r>
          </w:p>
        </w:tc>
        <w:tc>
          <w:tcPr>
            <w:tcW w:type="dxa" w:w="3402"/>
            <w:shd w:val="clear" w:color="auto" w:fill="FFFFFF"/>
          </w:tcPr>
          <w:p>
            <w:pPr>
              <w:jc w:val="center"/>
            </w:pPr>
            <w:r/>
            <w:r>
              <w:rPr>
                <w:rFonts w:ascii="Times New Roman" w:hAnsi="Times New Roman" w:cs="Times New Roman" w:eastAsia="Times New Roman"/>
                <w:b w:val="0"/>
                <w:i w:val="0"/>
                <w:color w:val="333333"/>
                <w:sz w:val="16"/>
              </w:rPr>
              <w:t>0,0619</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2</w:t>
            </w:r>
          </w:p>
        </w:tc>
        <w:tc>
          <w:tcPr>
            <w:tcW w:type="dxa" w:w="3402"/>
            <w:shd w:val="clear" w:color="auto" w:fill="F5F0E8"/>
          </w:tcPr>
          <w:p>
            <w:pPr>
              <w:jc w:val="center"/>
            </w:pPr>
            <w:r/>
            <w:r>
              <w:rPr>
                <w:rFonts w:ascii="Times New Roman" w:hAnsi="Times New Roman" w:cs="Times New Roman" w:eastAsia="Times New Roman"/>
                <w:b w:val="0"/>
                <w:i w:val="0"/>
                <w:color w:val="333333"/>
                <w:sz w:val="16"/>
              </w:rPr>
              <w:t>spectral_contrast_mean</w:t>
            </w:r>
          </w:p>
        </w:tc>
        <w:tc>
          <w:tcPr>
            <w:tcW w:type="dxa" w:w="3402"/>
            <w:shd w:val="clear" w:color="auto" w:fill="F5F0E8"/>
          </w:tcPr>
          <w:p>
            <w:pPr>
              <w:jc w:val="center"/>
            </w:pPr>
            <w:r/>
            <w:r>
              <w:rPr>
                <w:rFonts w:ascii="Times New Roman" w:hAnsi="Times New Roman" w:cs="Times New Roman" w:eastAsia="Times New Roman"/>
                <w:b w:val="0"/>
                <w:i w:val="0"/>
                <w:color w:val="333333"/>
                <w:sz w:val="16"/>
              </w:rPr>
              <w:t>0,0467</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3</w:t>
            </w:r>
          </w:p>
        </w:tc>
        <w:tc>
          <w:tcPr>
            <w:tcW w:type="dxa" w:w="3402"/>
            <w:shd w:val="clear" w:color="auto" w:fill="FFFFFF"/>
          </w:tcPr>
          <w:p>
            <w:pPr>
              <w:jc w:val="center"/>
            </w:pPr>
            <w:r/>
            <w:r>
              <w:rPr>
                <w:rFonts w:ascii="Times New Roman" w:hAnsi="Times New Roman" w:cs="Times New Roman" w:eastAsia="Times New Roman"/>
                <w:b w:val="0"/>
                <w:i w:val="0"/>
                <w:color w:val="333333"/>
                <w:sz w:val="16"/>
              </w:rPr>
              <w:t>rms_energy</w:t>
            </w:r>
          </w:p>
        </w:tc>
        <w:tc>
          <w:tcPr>
            <w:tcW w:type="dxa" w:w="3402"/>
            <w:shd w:val="clear" w:color="auto" w:fill="FFFFFF"/>
          </w:tcPr>
          <w:p>
            <w:pPr>
              <w:jc w:val="center"/>
            </w:pPr>
            <w:r/>
            <w:r>
              <w:rPr>
                <w:rFonts w:ascii="Times New Roman" w:hAnsi="Times New Roman" w:cs="Times New Roman" w:eastAsia="Times New Roman"/>
                <w:b w:val="0"/>
                <w:i w:val="0"/>
                <w:color w:val="333333"/>
                <w:sz w:val="16"/>
              </w:rPr>
              <w:t>0,0456</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4</w:t>
            </w:r>
          </w:p>
        </w:tc>
        <w:tc>
          <w:tcPr>
            <w:tcW w:type="dxa" w:w="3402"/>
            <w:shd w:val="clear" w:color="auto" w:fill="F5F0E8"/>
          </w:tcPr>
          <w:p>
            <w:pPr>
              <w:jc w:val="center"/>
            </w:pPr>
            <w:r/>
            <w:r>
              <w:rPr>
                <w:rFonts w:ascii="Times New Roman" w:hAnsi="Times New Roman" w:cs="Times New Roman" w:eastAsia="Times New Roman"/>
                <w:b w:val="0"/>
                <w:i w:val="0"/>
                <w:color w:val="333333"/>
                <w:sz w:val="16"/>
              </w:rPr>
              <w:t>onset_strength_std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0,0388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5</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0,0370</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6</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rms_dynamic_range</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0,0346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7</w:t>
            </w:r>
          </w:p>
        </w:tc>
        <w:tc>
          <w:tcPr>
            <w:tcW w:type="dxa" w:w="3402"/>
            <w:shd w:val="clear" w:color="auto" w:fill="FFFFFF"/>
          </w:tcPr>
          <w:p>
            <w:pPr>
              <w:jc w:val="center"/>
            </w:pPr>
            <w:r/>
            <w:r>
              <w:rPr>
                <w:rFonts w:ascii="Times New Roman" w:hAnsi="Times New Roman" w:cs="Times New Roman" w:eastAsia="Times New Roman"/>
                <w:b w:val="0"/>
                <w:i w:val="0"/>
                <w:color w:val="333333"/>
                <w:sz w:val="16"/>
              </w:rPr>
              <w:t>onset_strength_mean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0,0332</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8</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9</w:t>
            </w:r>
          </w:p>
        </w:tc>
        <w:tc>
          <w:tcPr>
            <w:tcW w:type="dxa" w:w="3402"/>
            <w:shd w:val="clear" w:color="auto" w:fill="FFFFFF"/>
          </w:tcPr>
          <w:p>
            <w:pPr>
              <w:jc w:val="center"/>
            </w:pPr>
            <w:r/>
            <w:r>
              <w:rPr>
                <w:rFonts w:ascii="Times New Roman" w:hAnsi="Times New Roman" w:cs="Times New Roman" w:eastAsia="Times New Roman"/>
                <w:b w:val="0"/>
                <w:i w:val="0"/>
                <w:color w:val="333333"/>
                <w:sz w:val="16"/>
              </w:rPr>
              <w:t>beat_count</w:t>
            </w:r>
          </w:p>
        </w:tc>
        <w:tc>
          <w:tcPr>
            <w:tcW w:type="dxa" w:w="3402"/>
            <w:shd w:val="clear" w:color="auto" w:fill="FFFFFF"/>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10</w:t>
            </w:r>
          </w:p>
        </w:tc>
        <w:tc>
          <w:tcPr>
            <w:tcW w:type="dxa" w:w="3402"/>
            <w:shd w:val="clear" w:color="auto" w:fill="F5F0E8"/>
          </w:tcPr>
          <w:p>
            <w:pPr>
              <w:jc w:val="center"/>
            </w:pPr>
            <w:r/>
            <w:r>
              <w:rPr>
                <w:rFonts w:ascii="Times New Roman" w:hAnsi="Times New Roman" w:cs="Times New Roman" w:eastAsia="Times New Roman"/>
                <w:b w:val="0"/>
                <w:i w:val="0"/>
                <w:color w:val="333333"/>
                <w:sz w:val="16"/>
              </w:rPr>
              <w:t>mfcc_delta_var</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0,0289</w:t>
            </w:r>
          </w:p>
        </w:tc>
      </w:tr>
    </w:tbl>
    <w:p>
      <w:pPr>
        <w:spacing w:after="160"/>
      </w:pPr>
    </w:p>
    <w:p>
      <w:pPr>
        <w:spacing w:before="200" w:after="40"/>
        <w:jc w:val="center"/>
        <w:keepNext/>
      </w:pPr>
      <w:r>
        <w:drawing>
          <wp:inline xmlns:a="http://schemas.openxmlformats.org/drawingml/2006/main" xmlns:pic="http://schemas.openxmlformats.org/drawingml/2006/picture">
            <wp:extent cx="2880000" cy="2296970"/>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2880000" cy="229697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9. LightGBM modelinde ilk yirmi özniteliğin normalleştirilmiş önem skorları. Spektral düzlük standart sapması açık bir farkla ilk sırada.</w:t>
      </w:r>
    </w:p>
    <w:p>
      <w:pPr>
        <w:spacing w:before="0" w:after="160"/>
        <w:jc w:val="center"/>
      </w:pPr>
      <w:r>
        <w:rPr>
          <w:rFonts w:ascii="Times New Roman" w:hAnsi="Times New Roman" w:cs="Times New Roman" w:eastAsia="Times New Roman"/>
          <w:b w:val="0"/>
          <w:i/>
          <w:color w:val="333333"/>
          <w:sz w:val="18"/>
        </w:rPr>
        <w:t>(Top-twenty feature importances in LightGBM (normalised). spectral_flatness_std leads by a clear margin.)</w:t>
      </w:r>
    </w:p>
    <w:p>
      <w:pPr>
        <w:spacing w:before="200" w:after="40"/>
        <w:jc w:val="center"/>
        <w:keepNext/>
      </w:pPr>
      <w:r>
        <w:drawing>
          <wp:inline xmlns:a="http://schemas.openxmlformats.org/drawingml/2006/main" xmlns:pic="http://schemas.openxmlformats.org/drawingml/2006/picture">
            <wp:extent cx="3060000" cy="3242127"/>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3060000" cy="324212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10. 2.000 örneklik bir CV diliminde LightGBM için TreeSHAP global etki diyagramı; her nokta tek bir örneği, yatay konum SHAP değerini, renk ise öznitelik büyüklüğünü kodlamaktadır.</w:t>
      </w:r>
    </w:p>
    <w:p>
      <w:pPr>
        <w:spacing w:before="0" w:after="160"/>
        <w:jc w:val="center"/>
      </w:pPr>
      <w:r>
        <w:rPr>
          <w:rFonts w:ascii="Times New Roman" w:hAnsi="Times New Roman" w:cs="Times New Roman" w:eastAsia="Times New Roman"/>
          <w:b w:val="0"/>
          <w:i/>
          <w:color w:val="333333"/>
          <w:sz w:val="18"/>
        </w:rPr>
        <w:t>(TreeSHAP global effect plot for LightGBM on a 2,000-sample CV slice; each point is one sample, horizontal position is the SHAP value, colour encodes feature magnitude.)</w:t>
      </w:r>
    </w:p>
    <w:p>
      <w:pPr>
        <w:spacing w:before="160" w:after="40" w:line="360" w:lineRule="auto"/>
        <w:jc w:val="left"/>
        <w:keepNext/>
      </w:pPr>
      <w:r>
        <w:rPr>
          <w:rFonts w:ascii="Times New Roman" w:hAnsi="Times New Roman" w:cs="Times New Roman" w:eastAsia="Times New Roman"/>
          <w:b/>
          <w:i/>
          <w:color w:val="333333"/>
          <w:sz w:val="18"/>
        </w:rPr>
        <w:t>3.5. Karmaşıklık Matrisi, Skor Dağılımı ve Kalibrasyon (Confusion Matrix, Score Distribution and Calibration)</w:t>
      </w:r>
    </w:p>
    <w:p>
      <w:pPr>
        <w:spacing w:line="360" w:lineRule="auto" w:before="0" w:after="120"/>
        <w:ind w:firstLine="283"/>
        <w:jc w:val="both"/>
      </w:pPr>
      <w:r>
        <w:rPr>
          <w:rFonts w:ascii="Times New Roman" w:hAnsi="Times New Roman" w:cs="Times New Roman" w:eastAsia="Times New Roman"/>
          <w:b w:val="0"/>
          <w:i w:val="0"/>
          <w:color w:val="333333"/>
          <w:sz w:val="18"/>
        </w:rPr>
        <w:t>Şekil 11, LightGBM'in 5-katlı doğrulama tahminlerinin Youden-optimal eşik θ* = 0,4316 ile eşiklendiği durumda elde edilen karmaşıklık matrisini göstermektedir. Matris şu değerleri raporlamaktadır: 2.721 doğru negatif (insan örneklerinin %87,4'ü), 1.862 doğru pozitif (yapay zekâ örneklerinin %89,4'ü), 392 yanlış pozitif (insan örneklerinin %12,6'sı yapay zekâ olarak atanmış) ve 220 yanlış negatif (yapay zekâ örneklerinin %10,6'sı insan olarak atanmış). Yapay zekâ sınıfı için duyarlılık (%89,4) insan örnekleri için özgüllük (%87,4) ile esasen dengelidir; küçük asimetri Youden ölçütünden kaynaklanmaktadır.</w:t>
      </w:r>
    </w:p>
    <w:p>
      <w:pPr>
        <w:spacing w:before="200" w:after="40"/>
        <w:jc w:val="center"/>
        <w:keepNext/>
      </w:pPr>
      <w:r>
        <w:drawing>
          <wp:inline xmlns:a="http://schemas.openxmlformats.org/drawingml/2006/main" xmlns:pic="http://schemas.openxmlformats.org/drawingml/2006/picture">
            <wp:extent cx="3060000" cy="2696274"/>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060000" cy="2696274"/>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11. LightGBM için Youden-optimal eşik θ* = 0,4316 altında karmaşıklık matrisi. Hücreler örnek sayıları ve ilgili sınıf-içi yüzdeleri göstermektedir.</w:t>
      </w:r>
    </w:p>
    <w:p>
      <w:pPr>
        <w:spacing w:before="0" w:after="160"/>
        <w:jc w:val="center"/>
      </w:pPr>
      <w:r>
        <w:rPr>
          <w:rFonts w:ascii="Times New Roman" w:hAnsi="Times New Roman" w:cs="Times New Roman" w:eastAsia="Times New Roman"/>
          <w:b w:val="0"/>
          <w:i/>
          <w:color w:val="333333"/>
          <w:sz w:val="18"/>
        </w:rPr>
        <w:t>(Confusion matrix for LightGBM at the Youden-optimal threshold θ* = 0.4316. Cells show sample counts and corresponding within-class percentages.)</w:t>
      </w:r>
    </w:p>
    <w:p>
      <w:pPr>
        <w:spacing w:line="360" w:lineRule="auto" w:before="0" w:after="120"/>
        <w:ind w:firstLine="283"/>
        <w:jc w:val="both"/>
      </w:pPr>
      <w:r>
        <w:rPr>
          <w:rFonts w:ascii="Times New Roman" w:hAnsi="Times New Roman" w:cs="Times New Roman" w:eastAsia="Times New Roman"/>
          <w:b w:val="0"/>
          <w:i w:val="0"/>
          <w:color w:val="333333"/>
          <w:sz w:val="18"/>
        </w:rPr>
        <w:t>Şekil 12, insan ve yapay zekâ sınıfları için P(AI) tahmini olasılık dağılımlarını ayrı ayrı çizmektedir. İki dağılım iyi ayrılmıştır; örtüşme yalnızca 0,4-0,6 merkezi bölgede önemli ölçüde mevcuttur. Kesik çizgi Youden-optimal eşiği işaretlemektedir; eşiğin simetrik 0,5 değerinin solunda konumlanması sınıf dengesizliği (yapay zekâ : insan ≈ 1 : 1,5) ile J(θ) maksimizasyonunun birleşik etkisini yansıtmaktadır. Şekil 13, kalibrasyon eğrisini sunmaktadır. Eğri olasılık aralığı boyunca köşegene yakın seyretmekte ve Brier skoru 0,083 olarak ölçülmektedir; bu değer, üretilen olasılıkların gerçek arka olasılığın güvenilir tahminleri olduğunu doğrulamaktadır.</w:t>
      </w:r>
    </w:p>
    <w:p>
      <w:pPr>
        <w:spacing w:before="200" w:after="40"/>
        <w:jc w:val="center"/>
        <w:keepNext/>
      </w:pPr>
      <w:r>
        <w:drawing>
          <wp:inline xmlns:a="http://schemas.openxmlformats.org/drawingml/2006/main" xmlns:pic="http://schemas.openxmlformats.org/drawingml/2006/picture">
            <wp:extent cx="2880000" cy="1841037"/>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2880000" cy="18410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12. İnsan (yeşil) ve yapay zekâ (kırmızı) örnekleri için P(AI) tahmin olasılık dağılımları. Kesik çizgi Youden-optimal karar eşiği θ* = 0,4316.</w:t>
      </w:r>
    </w:p>
    <w:p>
      <w:pPr>
        <w:spacing w:before="0" w:after="160"/>
        <w:jc w:val="center"/>
      </w:pPr>
      <w:r>
        <w:rPr>
          <w:rFonts w:ascii="Times New Roman" w:hAnsi="Times New Roman" w:cs="Times New Roman" w:eastAsia="Times New Roman"/>
          <w:b w:val="0"/>
          <w:i/>
          <w:color w:val="333333"/>
          <w:sz w:val="18"/>
        </w:rPr>
        <w:t>(Predicted-probability distributions of P(AI) for human (green) and AI (red) samples. Dashed line marks the Youden-optimal decision threshold θ* = 0.4316.)</w:t>
      </w:r>
    </w:p>
    <w:p>
      <w:pPr>
        <w:spacing w:before="200" w:after="40"/>
        <w:jc w:val="center"/>
        <w:keepNext/>
      </w:pPr>
      <w:r>
        <w:drawing>
          <wp:inline xmlns:a="http://schemas.openxmlformats.org/drawingml/2006/main" xmlns:pic="http://schemas.openxmlformats.org/drawingml/2006/picture">
            <wp:extent cx="3060000" cy="2907812"/>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13. LightGBM için kalibrasyon eğrisi. Köşegen ideal kalibrasyona karşılık gelir; Brier skoru = 0,083.</w:t>
      </w:r>
    </w:p>
    <w:p>
      <w:pPr>
        <w:spacing w:before="0" w:after="160"/>
        <w:jc w:val="center"/>
      </w:pPr>
      <w:r>
        <w:rPr>
          <w:rFonts w:ascii="Times New Roman" w:hAnsi="Times New Roman" w:cs="Times New Roman" w:eastAsia="Times New Roman"/>
          <w:b w:val="0"/>
          <w:i/>
          <w:color w:val="333333"/>
          <w:sz w:val="18"/>
        </w:rPr>
        <w:t>(Calibration curve for LightGBM. Diagonal corresponds to perfect calibration; Brier score = 0.083.)</w:t>
      </w:r>
    </w:p>
    <w:p>
      <w:pPr>
        <w:spacing w:before="20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14. LightGBM için kesinlik-duyarlılık eğrisi; ortalama kesinlik 0,934 olarak ölçülmüştür ve sınıf oranı 1:1,5 için ima edilen 0,401 baz çizgisinin çok üstündedir.</w:t>
      </w:r>
    </w:p>
    <w:p>
      <w:pPr>
        <w:spacing w:before="0" w:after="160"/>
        <w:jc w:val="center"/>
      </w:pPr>
      <w:r>
        <w:rPr>
          <w:rFonts w:ascii="Times New Roman" w:hAnsi="Times New Roman" w:cs="Times New Roman" w:eastAsia="Times New Roman"/>
          <w:b w:val="0"/>
          <w:i/>
          <w:color w:val="333333"/>
          <w:sz w:val="18"/>
        </w:rPr>
        <w:t>(Precision-recall curve for LightGBM; average precision is 0.934, well above the no-skill baseline of 0.401 implied by the 1:1.5 class ratio.)</w:t>
      </w:r>
    </w:p>
    <w:p>
      <w:pPr>
        <w:spacing w:before="160" w:after="40" w:line="360" w:lineRule="auto"/>
        <w:jc w:val="left"/>
        <w:keepNext/>
      </w:pPr>
      <w:r>
        <w:rPr>
          <w:rFonts w:ascii="Times New Roman" w:hAnsi="Times New Roman" w:cs="Times New Roman" w:eastAsia="Times New Roman"/>
          <w:b/>
          <w:i/>
          <w:color w:val="333333"/>
          <w:sz w:val="18"/>
        </w:rPr>
        <w:t>3.6. Eşik Taraması ve Karar Çalışma Noktaları (Threshold Sweep and Decision Operating Points)</w:t>
      </w:r>
    </w:p>
    <w:p>
      <w:pPr>
        <w:spacing w:line="360" w:lineRule="auto" w:before="0" w:after="120"/>
        <w:ind w:firstLine="283"/>
        <w:jc w:val="both"/>
      </w:pPr>
      <w:r>
        <w:rPr>
          <w:rFonts w:ascii="Times New Roman" w:hAnsi="Times New Roman" w:cs="Times New Roman" w:eastAsia="Times New Roman"/>
          <w:b w:val="0"/>
          <w:i w:val="0"/>
          <w:color w:val="333333"/>
          <w:sz w:val="18"/>
        </w:rPr>
        <w:t>Şekil 15, kesinlik, duyarlılık, F1 ve doğruluğun karar eşiğine göre nasıl değiştiğini göstermektedir. F1 skoru 0,40-0,50 aralığında bir plato oluşturmakta; Youden-optimal eşik bu platonun sol kenarında konumlanmaktadır. Bu örüntü, farklı çalıştırma maliyetlerine sahip kullanıcıların eğri üzerinde güvenle hareket edebileceğini göstermektedir.</w:t>
      </w:r>
    </w:p>
    <w:p>
      <w:pPr>
        <w:spacing w:before="200" w:after="40"/>
        <w:jc w:val="center"/>
        <w:keepNext/>
      </w:pPr>
      <w:r>
        <w:drawing>
          <wp:inline xmlns:a="http://schemas.openxmlformats.org/drawingml/2006/main" xmlns:pic="http://schemas.openxmlformats.org/drawingml/2006/picture">
            <wp:extent cx="2880000" cy="201835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2880000" cy="20183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15. LightGBM için karar eşiğine karşı kesinlik, duyarlılık ve F1 taraması. Youden-J optimumu θ* = 0,4316 kesik çizgi ile işaretlenmiştir.</w:t>
      </w:r>
    </w:p>
    <w:p>
      <w:pPr>
        <w:spacing w:before="0" w:after="160"/>
        <w:jc w:val="center"/>
      </w:pPr>
      <w:r>
        <w:rPr>
          <w:rFonts w:ascii="Times New Roman" w:hAnsi="Times New Roman" w:cs="Times New Roman" w:eastAsia="Times New Roman"/>
          <w:b w:val="0"/>
          <w:i/>
          <w:color w:val="333333"/>
          <w:sz w:val="18"/>
        </w:rPr>
        <w:t>(Threshold sweep of precision, recall and F1 versus decision threshold for LightGBM. Youden-J optimum θ* = 0.4316 is marked with the dashed line.)</w:t>
      </w:r>
    </w:p>
    <w:p>
      <w:pPr>
        <w:spacing w:before="160" w:after="40" w:line="360" w:lineRule="auto"/>
        <w:jc w:val="left"/>
        <w:keepNext/>
      </w:pPr>
      <w:r>
        <w:rPr>
          <w:rFonts w:ascii="Times New Roman" w:hAnsi="Times New Roman" w:cs="Times New Roman" w:eastAsia="Times New Roman"/>
          <w:b/>
          <w:i/>
          <w:color w:val="333333"/>
          <w:sz w:val="18"/>
        </w:rPr>
        <w:t>3.7. Üretici Bazlı Performans (Per-Generator Performance)</w:t>
      </w:r>
    </w:p>
    <w:p>
      <w:pPr>
        <w:spacing w:line="360" w:lineRule="auto" w:before="0" w:after="120"/>
        <w:ind w:firstLine="283"/>
        <w:jc w:val="both"/>
      </w:pPr>
      <w:r>
        <w:rPr>
          <w:rFonts w:ascii="Times New Roman" w:hAnsi="Times New Roman" w:cs="Times New Roman" w:eastAsia="Times New Roman"/>
          <w:b w:val="0"/>
          <w:i w:val="0"/>
          <w:color w:val="333333"/>
          <w:sz w:val="18"/>
        </w:rPr>
        <w:t>Veri kümesi 12'den fazla üretici sistemden örnek içerdiğinden, üretici bazlı performans toplam metriklerin ötesinde bilgilendiricidir. Şekil 16, LightGBM'in kaynak bazlı performansını sunmaktadır. Suno parçaları %93,0 duyarlılık (500'de 465) ile, Echoes %88,6 (1.128'de 999) ile kurtarılmaktadır. AImE alt kümesi (n=204) %79,9'a düşmektedir. Deepfake seti ise tam olarak %50,0'da kalmakta; yani bu parçaların yarısı tespit edilememektedir. İnsan tarafında, GTZAN (%93,2) ve FMA (%88,9) güvenilir biçimde tanınırken SleepyJesse kapak seti (n=854) %76,3'e düşmektedir. İki başarısızlık noktası -deepfake alt kümesi ve SleepyJesse kapakları- aynı yöne işaret etmektedir: akustik profili kendi sınıf etiketinin geri kalanından sistematik olarak farklı olan parçalar modeli zorlamaktadır. Bu durum Li vd. [5] tarafından vurgulanan üretici-modeller arası genelleme zorluğu ile tutarlıdır.</w:t>
      </w:r>
    </w:p>
    <w:p>
      <w:pPr>
        <w:spacing w:before="200" w:after="40"/>
        <w:jc w:val="center"/>
        <w:keepNext/>
      </w:pPr>
      <w:r>
        <w:drawing>
          <wp:inline xmlns:a="http://schemas.openxmlformats.org/drawingml/2006/main" xmlns:pic="http://schemas.openxmlformats.org/drawingml/2006/picture">
            <wp:extent cx="2880000" cy="1457688"/>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2880000" cy="145768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16. LightGBM'in 5-katlı çapraz doğrulama tahminleri üzerinde θ* = 0,4316 ile kaynak bazlı performansı. Yapay zekâ kaynakları (kırmızı) AI sınıfı duyarlılığı ile, insan kaynakları (yeşil) özgüllük ile değerlendirilmiştir.</w:t>
      </w:r>
    </w:p>
    <w:p>
      <w:pPr>
        <w:spacing w:before="0" w:after="160"/>
        <w:jc w:val="center"/>
      </w:pPr>
      <w:r>
        <w:rPr>
          <w:rFonts w:ascii="Times New Roman" w:hAnsi="Times New Roman" w:cs="Times New Roman" w:eastAsia="Times New Roman"/>
          <w:b w:val="0"/>
          <w:i/>
          <w:color w:val="333333"/>
          <w:sz w:val="18"/>
        </w:rPr>
        <w:t>(Per-source LightGBM performance on 5-fold CV predictions at θ* = 0.4316. AI sources (red) evaluated by AI-class recall; human sources (green) by specificity.)</w:t>
      </w:r>
    </w:p>
    <w:p>
      <w:pPr>
        <w:spacing w:before="200" w:after="40"/>
        <w:jc w:val="center"/>
        <w:keepNext/>
      </w:pPr>
      <w:r>
        <w:drawing>
          <wp:inline xmlns:a="http://schemas.openxmlformats.org/drawingml/2006/main" xmlns:pic="http://schemas.openxmlformats.org/drawingml/2006/picture">
            <wp:extent cx="2880000" cy="1998338"/>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2880000" cy="199833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17. LightGBM için sınıf bazlı kesinlik, duyarlılık ve F1 değerleri.</w:t>
      </w:r>
    </w:p>
    <w:p>
      <w:pPr>
        <w:spacing w:before="0" w:after="160"/>
        <w:jc w:val="center"/>
      </w:pPr>
      <w:r>
        <w:rPr>
          <w:rFonts w:ascii="Times New Roman" w:hAnsi="Times New Roman" w:cs="Times New Roman" w:eastAsia="Times New Roman"/>
          <w:b w:val="0"/>
          <w:i/>
          <w:color w:val="333333"/>
          <w:sz w:val="18"/>
        </w:rPr>
        <w:t>(Per-class precision, recall and F1 for LightGBM.)</w:t>
      </w:r>
    </w:p>
    <w:p>
      <w:pPr>
        <w:spacing w:before="160" w:after="40" w:line="360" w:lineRule="auto"/>
        <w:jc w:val="left"/>
        <w:keepNext/>
      </w:pPr>
      <w:r>
        <w:rPr>
          <w:rFonts w:ascii="Times New Roman" w:hAnsi="Times New Roman" w:cs="Times New Roman" w:eastAsia="Times New Roman"/>
          <w:b/>
          <w:i/>
          <w:color w:val="333333"/>
          <w:sz w:val="18"/>
        </w:rPr>
        <w:t>3.8. Tartışma (Discussion)</w:t>
      </w:r>
    </w:p>
    <w:p>
      <w:pPr>
        <w:spacing w:line="360" w:lineRule="auto" w:before="0" w:after="120"/>
        <w:ind w:firstLine="283"/>
        <w:jc w:val="both"/>
      </w:pPr>
      <w:r>
        <w:rPr>
          <w:rFonts w:ascii="Times New Roman" w:hAnsi="Times New Roman" w:cs="Times New Roman" w:eastAsia="Times New Roman"/>
          <w:b w:val="0"/>
          <w:i w:val="0"/>
          <w:color w:val="333333"/>
          <w:sz w:val="18"/>
        </w:rPr>
        <w:t>Bu alt bölümde, elde edilen deneysel sonuçlar literatür ışığında ayrıntılı biçimde tartışılmıştır. Spektral düzlük özniteliğinin öznitelik önem sıralamasındaki baskın konumu, daha geniş ses derin sahte literatürüyle [6] tutarlı ve yorumlanabilir bir bulgu niteliğindedir. Spektral düzlük, bir sinyalin güç spektrumunun geometrik ve aritmetik ortalamaları arasındaki oranı ölçerek spektrumun ne kadar tonal veya gürültü-benzeri olduğunu yakalamaktadır. Güncel GenAI üretim sistemleri, algısal kalite ölçütlerini optimize etme eğiliminde olup bunun yan etkisi olarak insan kayıtlarınınkinden sistematik biçimde daha temiz spektrumlar üreten sinyaller ortaya çıkarmaktadır. İnsan kayıtları ise kayıt ortamı, mikrofon ön-yükselticileri ve enstrümantal performansın katkıda bulunduğu geniş bantlı gürültüyü taşımaktadır. Bu yapısal fark, spektral düzlüğün ayırt edici güç olarak öne çıkmasının temel nedenini oluşturmaktadır.</w:t>
      </w:r>
    </w:p>
    <w:p>
      <w:pPr>
        <w:spacing w:line="360" w:lineRule="auto" w:before="0" w:after="120"/>
        <w:ind w:firstLine="283"/>
        <w:jc w:val="both"/>
      </w:pPr>
      <w:r>
        <w:rPr>
          <w:rFonts w:ascii="Times New Roman" w:hAnsi="Times New Roman" w:cs="Times New Roman" w:eastAsia="Times New Roman"/>
          <w:b w:val="0"/>
          <w:i w:val="0"/>
          <w:color w:val="333333"/>
          <w:sz w:val="18"/>
        </w:rPr>
        <w:t>Üretici modeller arası genelleme bağlamında, kullanılan veri kümesinin otoregresif modellerden (MusicGen [1]) difüzyon tabanlı sistemlere (AudioLDM [2]) ve ticari üreticilere (Suno, Udio) kadar on iki veya daha fazla GenAI üretim sistemini kapsadığı görülmektedir. Bu çeşitliliğin temel amacı, modelin tek bir üretici ailenin parmak izlerine aşırı uyum sağlamasını engellemektir. Bölüm 3.7'de raporlanan kaynak bazlı sonuçlar bu yaklaşımın kısmen başarılı olduğunu göstermektedir; Suno ve Echoes parçalarında %88-93 duyarlılık değeri elde edilirken deepfake alt kümesinde bu değer %50'ye düşmektedir. Bu sonuç, Li vd. [5] tarafından alanın açık problemi olarak işaret edilen üretici modeller arası genelleme zorluğunu doğrular niteliktedir.</w:t>
      </w:r>
    </w:p>
    <w:p>
      <w:pPr>
        <w:spacing w:line="360" w:lineRule="auto" w:before="0" w:after="120"/>
        <w:ind w:firstLine="283"/>
        <w:jc w:val="both"/>
      </w:pPr>
      <w:r>
        <w:rPr>
          <w:rFonts w:ascii="Times New Roman" w:hAnsi="Times New Roman" w:cs="Times New Roman" w:eastAsia="Times New Roman"/>
          <w:b w:val="0"/>
          <w:i w:val="0"/>
          <w:color w:val="333333"/>
          <w:sz w:val="18"/>
        </w:rPr>
        <w:t>1D-CNN modelinin diğer mimarilere kıyasla belirgin biçimde düşük performansı (ROC-AUC = 0,8543), mimari bir uyumsuzluğun sonucu olarak değerlendirilmektedir. Tek boyutlu evrişim, bir dizi boyunca yerel korelasyonları kullanmak üzere tasarlanmıştır; ancak önerilen sistemde giriş, sıralanmamış 47 boyutlu düz bir öznitelik vektörüdür ve vektörün bitişik indeksleri ilgisiz miktarlara karşılık gelmektedir. Bu liste boyunca bir çekirdeği kaydıran evrişim işleminin öğrenebileceği anlamlı bir öteleme değişmezliği bulunmadığından, 1D-CNN modeli vektörü bir bütün olarak işleyen diğer üç DL mimarisinin gerisinde kalmakta ve doğruluk açısından Lojistik Regresyon tarafından bile geçilmektedir.</w:t>
      </w:r>
    </w:p>
    <w:p>
      <w:pPr>
        <w:spacing w:line="360" w:lineRule="auto" w:before="0" w:after="120"/>
        <w:ind w:firstLine="283"/>
        <w:jc w:val="both"/>
      </w:pPr>
      <w:r>
        <w:rPr>
          <w:rFonts w:ascii="Times New Roman" w:hAnsi="Times New Roman" w:cs="Times New Roman" w:eastAsia="Times New Roman"/>
          <w:b w:val="0"/>
          <w:i w:val="0"/>
          <w:color w:val="333333"/>
          <w:sz w:val="18"/>
        </w:rPr>
        <w:t>Topluluğun ezberleme eğilimini doğrudan değerlendirmek amacıyla, her modelin eğitim doğruluğu ile 5-katlı çapraz doğrulama doğruluğu karşılaştırmalı olarak incelenmiştir. Şekil 18'de sunulan sonuçlar şu örüntüyü ortaya koymaktadır: Rastgele Orman modeli %100,0 eğitim doğruluğuna karşı çapraz doğrulama altında %86,1 doğruluk elde etmiş olup aradaki 13,9 puanlık fark dikkat çekicidir. LightGBM ve SVM sırasıyla 12,0 ve 13,4 puanlık farklarla bu eğilimi takip etmektedir. XGBoost ve Gradyan Artırma modelleri ise -daha güçlü yerleşik düzenleştirmelerine rağmen- 8-9 puanlık bir fark sergilemektedir. Eğitim ve çapraz doğrulama doğruluklarının esasen örtüştüğü tek topluluk üyesi, yalnızca 0,6 puanlık fark ile Lojistik Regresyon olmuştur. Bu örüntü, ağaç tabanlı toplulukların 5-katlı çapraz doğrulamanın yakalayabildiği ancak tek bir eğitim/test bölünmesinin gizleyebileceği gerçek bir aşırı öğrenme (overfitting) eğilimi taşıdığını göstermektedir. Bu bulgu, %88,0'lık çapraz doğrulama doğruluğunun anlamlı bir performans tavanı olarak yorumlanmasını gerektirmektedir.</w:t>
      </w:r>
    </w:p>
    <w:p>
      <w:pPr>
        <w:spacing w:before="200" w:after="40"/>
        <w:jc w:val="center"/>
        <w:keepNext/>
      </w:pPr>
      <w:r>
        <w:drawing>
          <wp:inline xmlns:a="http://schemas.openxmlformats.org/drawingml/2006/main" xmlns:pic="http://schemas.openxmlformats.org/drawingml/2006/picture">
            <wp:extent cx="2880000" cy="1837241"/>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2880000" cy="183724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18. Yedi öznitelik tabanlı modelin eğitim ve 5-katlı çapraz doğrulama doğrulukları arasındaki farkın karşılaştırması.</w:t>
      </w:r>
    </w:p>
    <w:p>
      <w:pPr>
        <w:spacing w:before="0" w:after="160"/>
        <w:jc w:val="center"/>
      </w:pPr>
      <w:r>
        <w:rPr>
          <w:rFonts w:ascii="Times New Roman" w:hAnsi="Times New Roman" w:cs="Times New Roman" w:eastAsia="Times New Roman"/>
          <w:b w:val="0"/>
          <w:i/>
          <w:color w:val="333333"/>
          <w:sz w:val="18"/>
        </w:rPr>
        <w:t>(Comparison of training accuracy and 5-fold cross-validation accuracy for the seven feature-based models.)</w:t>
      </w:r>
    </w:p>
    <w:p>
      <w:pPr>
        <w:spacing w:line="360" w:lineRule="auto" w:before="0" w:after="120"/>
        <w:ind w:firstLine="283"/>
        <w:jc w:val="both"/>
      </w:pPr>
      <w:r>
        <w:rPr>
          <w:rFonts w:ascii="Times New Roman" w:hAnsi="Times New Roman" w:cs="Times New Roman" w:eastAsia="Times New Roman"/>
          <w:b w:val="0"/>
          <w:i w:val="0"/>
          <w:color w:val="333333"/>
          <w:sz w:val="18"/>
        </w:rPr>
        <w:t>Öznitelik fazlalığı açısından yapılan analiz, 47 özniteliğin tasarım gereği fazlalıklı bir yapıya sahip olduğunu göstermiştir. Yirmi öznitelik çiftinin |Pearson r| değeri tüm veri kümesi üzerinde 0,85'in üzerinde ölçülmüştür. Bu çiftlerden dördü 0,97 değerini aşmaktadır: has_vocals ile vocal_harmonic_ratio (r = 0,994), pitch_std_cents ile vibrato_extent_cents (0,983), vocal_texture_score ile vocal_harmonic_ratio (0,975) ve has_vocals ile vocal_texture_score (0,974). Vokal olmayan öznitelikler arasında ise spektral merkez, bant genişliği ve azalma ortalamaları sıkı bir küme oluşturmaktadır (ikili r &gt; 0,94). Şekil 19, 47×47 boyutundaki tüm |r| matrisini görselleştirmekte; aşağı-sağda yer alan koyu çapraz-dışı bloklar vokal öznitelik ailesindeki yoğun fazlalığı yansıtmaktadır.</w:t>
      </w:r>
    </w:p>
    <w:p>
      <w:pPr>
        <w:spacing w:before="200" w:after="40"/>
        <w:jc w:val="center"/>
        <w:keepNext/>
      </w:pPr>
      <w:r>
        <w:drawing>
          <wp:inline xmlns:a="http://schemas.openxmlformats.org/drawingml/2006/main" xmlns:pic="http://schemas.openxmlformats.org/drawingml/2006/picture">
            <wp:extent cx="3060000" cy="2811001"/>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3060000" cy="28110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19. 47 öznitelik arasında mutlak Pearson korelasyon ısı haritası.</w:t>
      </w:r>
    </w:p>
    <w:p>
      <w:pPr>
        <w:spacing w:before="0" w:after="160"/>
        <w:jc w:val="center"/>
      </w:pPr>
      <w:r>
        <w:rPr>
          <w:rFonts w:ascii="Times New Roman" w:hAnsi="Times New Roman" w:cs="Times New Roman" w:eastAsia="Times New Roman"/>
          <w:b w:val="0"/>
          <w:i/>
          <w:color w:val="333333"/>
          <w:sz w:val="18"/>
        </w:rPr>
        <w:t>(Absolute Pearson correlation heatmap between the 47 features.)</w:t>
      </w:r>
    </w:p>
    <w:p>
      <w:pPr>
        <w:spacing w:line="360" w:lineRule="auto" w:before="0" w:after="120"/>
        <w:ind w:firstLine="283"/>
        <w:jc w:val="both"/>
      </w:pPr>
      <w:r>
        <w:rPr>
          <w:rFonts w:ascii="Times New Roman" w:hAnsi="Times New Roman" w:cs="Times New Roman" w:eastAsia="Times New Roman"/>
          <w:b w:val="0"/>
          <w:i w:val="0"/>
          <w:color w:val="333333"/>
          <w:sz w:val="18"/>
        </w:rPr>
        <w:t>Öznitelik sayısının model performansına etkisini değerlendirmek amacıyla kapsamlı bir öznitelik çıkarma deneyi gerçekleştirilmiştir. Bu deney kapsamında öznitelikler LightGBM önemine göre sıralanmış ve ilk-N öznitelik için N ∈ {1, 3, 5, 10, 15, 20, 30, 47} değerleri ile 5-katlı çapraz doğrulama tekrarlanmıştır. Şekil 20'de sunulan eğri, N = 10 değerine kadar dik bir artış göstermekte (doğruluk %59,8'den %84,7'ye yükselmekte) ve sonrasında belirgin bir plato sergilemektedir. N = 20 değerinde %88,0, N = 30 değerinde %88,7 doğruluk elde edilmiş; tüm 47 özniteliğin kullanılması ise %88,5 doğruluk vermiştir. Bu sonuç, N = 30 değeri ile bir standart sapma içerisinde eşdeğerdir. Diğer bir ifadeyle, önem sırasına göre sondaki on yedi öznitelik ölçülebilir bir ek doğruluk sağlamamaktadır. Bu bulgu, pratik bir konuşlandırma senaryosunda kalite kaybı yaşanmadan öznitelik vektörünün boyutunun azaltılabileceğini ortaya koymaktadır.</w:t>
      </w:r>
    </w:p>
    <w:p>
      <w:pPr>
        <w:spacing w:before="200" w:after="40"/>
        <w:jc w:val="center"/>
        <w:keepNext/>
      </w:pPr>
      <w:r>
        <w:drawing>
          <wp:inline xmlns:a="http://schemas.openxmlformats.org/drawingml/2006/main" xmlns:pic="http://schemas.openxmlformats.org/drawingml/2006/picture">
            <wp:extent cx="2880000" cy="1936552"/>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2880000" cy="193655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20. LightGBM modelinin 5-katlı çapraz doğrulama doğruluğunun kullanılan öznitelik sayısına bağlı değişimi.</w:t>
      </w:r>
    </w:p>
    <w:p>
      <w:pPr>
        <w:spacing w:before="0" w:after="160"/>
        <w:jc w:val="center"/>
      </w:pPr>
      <w:r>
        <w:rPr>
          <w:rFonts w:ascii="Times New Roman" w:hAnsi="Times New Roman" w:cs="Times New Roman" w:eastAsia="Times New Roman"/>
          <w:b w:val="0"/>
          <w:i/>
          <w:color w:val="333333"/>
          <w:sz w:val="18"/>
        </w:rPr>
        <w:t>(5-fold cross-validation accuracy of LightGBM as a function of the number of features used.)</w:t>
      </w:r>
    </w:p>
    <w:p>
      <w:pPr>
        <w:spacing w:line="360" w:lineRule="auto" w:before="0" w:after="120"/>
        <w:ind w:firstLine="283"/>
        <w:jc w:val="both"/>
      </w:pPr>
      <w:r>
        <w:rPr>
          <w:rFonts w:ascii="Times New Roman" w:hAnsi="Times New Roman" w:cs="Times New Roman" w:eastAsia="Times New Roman"/>
          <w:b w:val="0"/>
          <w:i w:val="0"/>
          <w:color w:val="333333"/>
          <w:sz w:val="18"/>
        </w:rPr>
        <w:t>Önerilen sistemin sınırlamaları açık biçimde değerlendirildiğinde dört temel husus öne çıkmaktadır. Birincisi, öznitelikler 15-30 saniye uzunluğundaki tam ses kliplerinden çıkarılmakta olup daha kısa klipler (&lt; 5 saniye) özellikle tempo ve vibrato istatistikleri için daha az güvenilir tahminler üretebilmektedir; bu nedenle önerilen sistemin canlı mikrofon ve kısa klip senaryolarındaki performansı henüz değerlendirilmemiştir. İkincisi, kullanılan veri kümesi yirmi farklı tür kapsamakla birlikte bazı türlerin (özellikle ambient ve lo-fi) GenAI tarafında aşırı temsil edildiği gözlemlenmiştir; tür katmanlı bir değerlendirme, genelleme kapasitesinin daha titiz biçimde ölçülmesini sağlayacaktır. Üçüncüsü, düşmanca sağlamlık açıkça test edilmemiştir; MP3 sıkıştırma, perde kaydırma ve zaman gerdirme gibi sonradan işleme tekniklerinin vokoder izlerine dayanan sistemlerin performansını düşürdüğü Afchar vd. [7] tarafından raporlanmıştır. AURIS sistemi özniteliklerini vokoder izleri etrafında inşa etmediğinden bu etkiye daha az hassas olması beklenmektedir; ancak bu varsayımın deneysel olarak doğrulanması gerekmektedir. Dördüncüsü, eğitim ile çapraz doğrulama doğrulukları arasında tespit edilen fark, modelin dağılım kayışına karşı duyarlı olduğunu göstermektedir; bu durumun SONICS [23] ve FakeMusicCaps [24] gibi gelişmekte olan kıyaslamalar üzerinde yapılacak resmî değerlendirmelerle teyit edilmesi gerekmektedir.</w:t>
      </w:r>
    </w:p>
    <w:p>
      <w:pPr>
        <w:spacing w:before="240" w:after="80" w:line="360" w:lineRule="auto"/>
        <w:jc w:val="left"/>
        <w:keepNext/>
      </w:pPr>
      <w:r>
        <w:rPr>
          <w:rFonts w:ascii="Times New Roman" w:hAnsi="Times New Roman" w:cs="Times New Roman" w:eastAsia="Times New Roman"/>
          <w:b/>
          <w:i w:val="0"/>
          <w:color w:val="333333"/>
          <w:sz w:val="18"/>
        </w:rPr>
        <w:t>Sonuçlar (Conclusions)</w:t>
      </w:r>
    </w:p>
    <w:p>
      <w:pPr>
        <w:spacing w:line="360" w:lineRule="auto" w:before="0" w:after="120"/>
        <w:ind w:firstLine="283"/>
        <w:jc w:val="both"/>
      </w:pPr>
      <w:r>
        <w:rPr>
          <w:rFonts w:ascii="Times New Roman" w:hAnsi="Times New Roman" w:cs="Times New Roman" w:eastAsia="Times New Roman"/>
          <w:b w:val="0"/>
          <w:i w:val="0"/>
          <w:color w:val="333333"/>
          <w:sz w:val="18"/>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ampirik bulgular şu şekilde özetlenebilir: LightGBM modeli, %95,48 ortalama ROC-AUC değeri ile en yüksek performansı elde etmiş; DMLP ise %95,42 ile çok yakın bir ikinci sırayı almıştır. Ayrıca LightGBM, ±0,0023 standart sapma ile havuzdaki en düşük katlar-arası varyansa sahip modeli oluşturmuştur. Spektral düzlük özniteliği, GenAI ile insan müziği ayrımı için en bilgilendirici tek öznitelik olarak öne çıkmakta; bu örüntü, sentetik ve kaydedilmiş spektrumlar arasındaki fark üzerinden yorumlanabilir bir nitelik taşımaktadır. Youden J ölçütü ile her kat için optimize edilen θ* = 0,4316 karar eşiği, mevcut 1:1,5 sınıf dengesizliği altında varsayılan 0,5 kesim noktasını sistematik biçimde geçmektedir. Tanılayıcı analiz ise iki önemli sınırlamayı açık biçimde ortaya koymaktadır: (𝑖) tüm ağaç tabanlı modeller eğitim ile çapraz doğrulama doğrulukları arasında 8-14 puanlık bir fark sergilemekte ve (𝑖𝑖) 47 özniteliğin önem sırasına göre sondaki yaklaşık on yedisi ölçülebilir bir ek doğruluk sağlamamaktadır.</w:t>
      </w:r>
    </w:p>
    <w:p>
      <w:pPr>
        <w:spacing w:line="360" w:lineRule="auto" w:before="0" w:after="120"/>
        <w:ind w:firstLine="283"/>
        <w:jc w:val="both"/>
      </w:pPr>
      <w:r>
        <w:rPr>
          <w:rFonts w:ascii="Times New Roman" w:hAnsi="Times New Roman" w:cs="Times New Roman" w:eastAsia="Times New Roman"/>
          <w:b w:val="0"/>
          <w:i w:val="0"/>
          <w:color w:val="333333"/>
          <w:sz w:val="18"/>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(adversarial robustness); MP3 sıkıştırma, perde kaydırma ve zaman gerdirme gibi ses manipülasyonları altında açıkça değerlendirilecektir. Dördüncüsü, kullanılan veri kümesi on bin örneğe doğru genişletilecek ve ortaya çıkan yeni GenAI üretim sistemleri kapsama dahil edilecektir; özellikle Li vd. [5] tarafından tanımlanan üretici-modeller arası genelleme zorluğuna odaklanılması hedeflenmektedir.</w:t>
      </w:r>
    </w:p>
    <w:p>
      <w:pPr>
        <w:spacing w:before="240" w:after="80" w:line="360" w:lineRule="auto"/>
        <w:jc w:val="left"/>
        <w:keepNext/>
      </w:pPr>
      <w:r>
        <w:rPr>
          <w:rFonts w:ascii="Times New Roman" w:hAnsi="Times New Roman" w:cs="Times New Roman" w:eastAsia="Times New Roman"/>
          <w:b/>
          <w:i w:val="0"/>
          <w:color w:val="333333"/>
          <w:sz w:val="18"/>
        </w:rPr>
        <w:t>Kaynaklar (References)</w:t>
      </w:r>
    </w:p>
    <w:p>
      <w:pPr>
        <w:spacing w:before="0" w:after="40" w:line="240" w:lineRule="auto"/>
        <w:ind w:left="340" w:hanging="340"/>
        <w:jc w:val="both"/>
      </w:pPr>
      <w:r>
        <w:rPr>
          <w:rFonts w:ascii="Times New Roman" w:hAnsi="Times New Roman" w:cs="Times New Roman" w:eastAsia="Times New Roman"/>
          <w:b w:val="0"/>
          <w:i w:val="0"/>
          <w:color w:val="333333"/>
          <w:sz w:val="16"/>
        </w:rPr>
        <w:t>1. Copet J. vd., Simple and Controllable Music Generation, Advances in Neural Information Processing Systems, 36, 2023. DOI: 10.48550/arXiv.2306.05284.</w:t>
      </w:r>
    </w:p>
    <w:p>
      <w:pPr>
        <w:spacing w:before="0" w:after="40" w:line="240" w:lineRule="auto"/>
        <w:ind w:left="340" w:hanging="340"/>
        <w:jc w:val="both"/>
      </w:pPr>
      <w:r>
        <w:rPr>
          <w:rFonts w:ascii="Times New Roman" w:hAnsi="Times New Roman" w:cs="Times New Roman" w:eastAsia="Times New Roman"/>
          <w:b w:val="0"/>
          <w:i w:val="0"/>
          <w:color w:val="333333"/>
          <w:sz w:val="16"/>
        </w:rPr>
        <w:t>2. Liu H. vd., AudioLDM: Text-to-Audio Generation with Latent Diffusion Models, Proceedings of the International Conference on Machine Learning (ICML 2023), 21450-21474, Honolulu, Hawaii, A.B.D., 23-29 Temmuz, 2023. DOI: 10.48550/arXiv.2301.12503.</w:t>
      </w:r>
    </w:p>
    <w:p>
      <w:pPr>
        <w:spacing w:before="0" w:after="40" w:line="240" w:lineRule="auto"/>
        <w:ind w:left="340" w:hanging="340"/>
        <w:jc w:val="both"/>
      </w:pPr>
      <w:r>
        <w:rPr>
          <w:rFonts w:ascii="Times New Roman" w:hAnsi="Times New Roman" w:cs="Times New Roman" w:eastAsia="Times New Roman"/>
          <w:b w:val="0"/>
          <w:i w:val="0"/>
          <w:color w:val="333333"/>
          <w:sz w:val="16"/>
        </w:rPr>
        <w:t>3. Yi J. vd., ADD 2022: The First Audio Deep Synthesis Detection Challenge, Proceedings of the IEEE International Conference on Acoustics, Speech and Signal Processing (ICASSP 2022), 9216-9220, Singapur, 22-27 Mayıs, 2022. DOI: 10.1109/ICASSP43922.2022.9746939.</w:t>
      </w:r>
    </w:p>
    <w:p>
      <w:pPr>
        <w:spacing w:before="0" w:after="40" w:line="240" w:lineRule="auto"/>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2021 Datasets and Benchmarks Track, 2021. DOI: 10.5281/zenodo.5642694.</w:t>
      </w:r>
    </w:p>
    <w:p>
      <w:pPr>
        <w:spacing w:before="0" w:after="40" w:line="240" w:lineRule="auto"/>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 DOI: 10.48550/arXiv.2412.00571.</w:t>
      </w:r>
    </w:p>
    <w:p>
      <w:pPr>
        <w:spacing w:before="0" w:after="40" w:line="240" w:lineRule="auto"/>
        <w:ind w:left="340" w:hanging="340"/>
        <w:jc w:val="both"/>
      </w:pPr>
      <w:r>
        <w:rPr>
          <w:rFonts w:ascii="Times New Roman" w:hAnsi="Times New Roman" w:cs="Times New Roman" w:eastAsia="Times New Roman"/>
          <w:b w:val="0"/>
          <w:i w:val="0"/>
          <w:color w:val="333333"/>
          <w:sz w:val="16"/>
        </w:rPr>
        <w:t>6. Yi J. vd., Audio Deepfake Detection: A Survey, arXiv preprint arXiv:2308.14970, 2023. DOI: 10.48550/arXiv.2308.14970.</w:t>
      </w:r>
    </w:p>
    <w:p>
      <w:pPr>
        <w:spacing w:before="0" w:after="40" w:line="240" w:lineRule="auto"/>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 DOI: 10.48550/arXiv.2501.10111.</w:t>
      </w:r>
    </w:p>
    <w:p>
      <w:pPr>
        <w:spacing w:before="0" w:after="40" w:line="240" w:lineRule="auto"/>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 DOI: 10.48550/arXiv.2509.08283.</w:t>
      </w:r>
    </w:p>
    <w:p>
      <w:pPr>
        <w:spacing w:before="0" w:after="40" w:line="240" w:lineRule="auto"/>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 DOI: 10.1145/2939672.2939785.</w:t>
      </w:r>
    </w:p>
    <w:p>
      <w:pPr>
        <w:spacing w:before="0" w:after="40" w:line="240" w:lineRule="auto"/>
        <w:ind w:left="340" w:hanging="340"/>
        <w:jc w:val="both"/>
      </w:pPr>
      <w:r>
        <w:rPr>
          <w:rFonts w:ascii="Times New Roman" w:hAnsi="Times New Roman" w:cs="Times New Roman" w:eastAsia="Times New Roman"/>
          <w:b w:val="0"/>
          <w:i w:val="0"/>
          <w:color w:val="333333"/>
          <w:sz w:val="16"/>
        </w:rPr>
        <w:t>10. Ke G. vd., LightGBM: A Highly Efficient Gradient Boosting Decision Tree, Advances in Neural Information Processing Systems 30 (NIPS 2017), 3149-3157, Long Beach, California, A.B.D., 4-9 Aralık, 2017.</w:t>
      </w:r>
    </w:p>
    <w:p>
      <w:pPr>
        <w:spacing w:before="0" w:after="40" w:line="240" w:lineRule="auto"/>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 DOI: 10.48550/arXiv.1705.07874.</w:t>
      </w:r>
    </w:p>
    <w:p>
      <w:pPr>
        <w:spacing w:before="0" w:after="40" w:line="240" w:lineRule="auto"/>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pPr>
        <w:spacing w:before="0" w:after="40" w:line="240" w:lineRule="auto"/>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 DOI: 10.5555/3495724.3496768.</w:t>
      </w:r>
    </w:p>
    <w:p>
      <w:pPr>
        <w:spacing w:before="0" w:after="40" w:line="240" w:lineRule="auto"/>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pPr>
        <w:spacing w:before="0" w:after="40" w:line="240" w:lineRule="auto"/>
        <w:ind w:left="340" w:hanging="340"/>
        <w:jc w:val="both"/>
      </w:pPr>
      <w:r>
        <w:rPr>
          <w:rFonts w:ascii="Times New Roman" w:hAnsi="Times New Roman" w:cs="Times New Roman" w:eastAsia="Times New Roman"/>
          <w:b w:val="0"/>
          <w:i w:val="0"/>
          <w:color w:val="333333"/>
          <w:sz w:val="16"/>
        </w:rPr>
        <w:t>15. Wu Y. vd.,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pPr>
        <w:spacing w:before="0" w:after="40" w:line="240" w:lineRule="auto"/>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 DOI: 10.48550/arXiv.2206.00901.</w:t>
      </w:r>
    </w:p>
    <w:p>
      <w:pPr>
        <w:spacing w:before="0" w:after="40" w:line="240" w:lineRule="auto"/>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 DOI: 10.3390/math12101549.</w:t>
      </w:r>
    </w:p>
    <w:p>
      <w:pPr>
        <w:spacing w:before="0" w:after="40" w:line="240" w:lineRule="auto"/>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 DOI: 10.31590/ejosat.898588.</w:t>
      </w:r>
    </w:p>
    <w:p>
      <w:pPr>
        <w:spacing w:before="0" w:after="40" w:line="240" w:lineRule="auto"/>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before="0" w:after="40" w:line="240" w:lineRule="auto"/>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 DOI: 10.29109/gujsc.1352477.</w:t>
      </w:r>
    </w:p>
    <w:p>
      <w:pPr>
        <w:spacing w:before="0" w:after="40" w:line="240" w:lineRule="auto"/>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 DOI: 10.1007/978-3-031-08754-7_9.</w:t>
      </w:r>
    </w:p>
    <w:p>
      <w:pPr>
        <w:spacing w:before="0" w:after="40" w:line="240" w:lineRule="auto"/>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 DOI: 10.1007/s43926-023-00049-y.</w:t>
      </w:r>
    </w:p>
    <w:p>
      <w:pPr>
        <w:spacing w:before="0" w:after="40" w:line="240" w:lineRule="auto"/>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 DOI: 10.48550/arXiv.2408.14080.</w:t>
      </w:r>
    </w:p>
    <w:p>
      <w:pPr>
        <w:spacing w:before="0" w:after="40" w:line="240" w:lineRule="auto"/>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 DOI: 10.48550/arXiv.2409.10684.</w:t>
      </w:r>
    </w:p>
    <w:p>
      <w:pPr>
        <w:spacing w:before="0" w:after="40" w:line="240" w:lineRule="auto"/>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 DOI: 10.48550/arXiv.2603.23667.</w:t>
      </w:r>
    </w:p>
    <w:p>
      <w:pPr>
        <w:spacing w:before="0" w:after="40" w:line="240" w:lineRule="auto"/>
        <w:ind w:left="340" w:hanging="340"/>
        <w:jc w:val="both"/>
      </w:pPr>
      <w:r>
        <w:rPr>
          <w:rFonts w:ascii="Times New Roman" w:hAnsi="Times New Roman" w:cs="Times New Roman" w:eastAsia="Times New Roman"/>
          <w:b w:val="0"/>
          <w:i w:val="0"/>
          <w:color w:val="333333"/>
          <w:sz w:val="16"/>
        </w:rPr>
        <w:t>26. Sunday N., Detecting Musical Deepfakes, arXiv preprint arXiv:2505.09633, 2025. DOI: 10.48550/arXiv.2505.09633.</w:t>
      </w:r>
    </w:p>
    <w:p>
      <w:pPr>
        <w:spacing w:before="0" w:after="40" w:line="240" w:lineRule="auto"/>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 DOI: 10.48550/arXiv.2507.10447.</w:t>
      </w:r>
    </w:p>
    <w:p>
      <w:pPr>
        <w:spacing w:before="0" w:after="40" w:line="240" w:lineRule="auto"/>
        <w:ind w:left="340" w:hanging="340"/>
        <w:jc w:val="both"/>
      </w:pPr>
      <w:r>
        <w:rPr>
          <w:rFonts w:ascii="Times New Roman" w:hAnsi="Times New Roman" w:cs="Times New Roman" w:eastAsia="Times New Roman"/>
          <w:b w:val="0"/>
          <w:i w:val="0"/>
          <w:color w:val="333333"/>
          <w:sz w:val="16"/>
        </w:rPr>
        <w:t>28. McFee B. vd., librosa: Audio and Music Signal Analysis in Python, Proceedings of the 14th Python in Science Conference (SciPy 2015), 18-24, Austin, Texas, A.B.D., 6-12 Temmuz, 2015. DOI: 10.25080/Majora-7b98e3ed-003.</w:t>
      </w:r>
    </w:p>
    <w:p>
      <w:pPr>
        <w:spacing w:before="0" w:after="40" w:line="240" w:lineRule="auto"/>
        <w:ind w:left="340" w:hanging="340"/>
        <w:jc w:val="both"/>
      </w:pPr>
      <w:r>
        <w:rPr>
          <w:rFonts w:ascii="Times New Roman" w:hAnsi="Times New Roman" w:cs="Times New Roman" w:eastAsia="Times New Roman"/>
          <w:b w:val="0"/>
          <w:i w:val="0"/>
          <w:color w:val="333333"/>
          <w:sz w:val="16"/>
        </w:rPr>
        <w:t>29. Pedregosa F. vd., Scikit-learn: Machine Learning in Python, Journal of Machine Learning Research, 12, 2825-2830, 2011.</w:t>
      </w:r>
    </w:p>
    <w:p>
      <w:pPr>
        <w:spacing w:before="0" w:after="40" w:line="240" w:lineRule="auto"/>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 DOI: 10.48550/arXiv.1412.6980.</w:t>
      </w:r>
    </w:p>
    <w:sectPr w:rsidR="00FC693F" w:rsidRPr="0006063C" w:rsidSect="00034616">
      <w:type w:val="continuous"/>
      <w:pgSz w:w="11906" w:h="16838"/>
      <w:pgMar w:top="1582" w:right="850" w:bottom="278" w:left="850" w:header="720" w:footer="720" w:gutter="0"/>
      <w:docGrid w:linePitch="360"/>
      <w:cols w:num="2" w:space="28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