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 [2],[3].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Bhatt vd. [2]</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Evet</w:t>
            </w:r>
          </w:p>
        </w:tc>
        <w:tc>
          <w:tcPr>
            <w:tcW w:w="1190" w:type="dxa"/>
            <w:shd w:val="clear" w:color="auto" w:fill="EBF3FB"/>
            <w:vAlign w:val="center"/>
          </w:tcPr>
          <w:p>
            <w:pPr>
              <w:jc w:val="center"/>
            </w:pPr>
            <w:r>
              <w:rPr>
                <w:sz w:val="18"/>
              </w:rPr>
              <w:t xml:space="preserve">Raporlanmadı</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ile paralel biçimde bu bulgu [1],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arXiv:2409.08283, 2024.</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