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7"/>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17"/>
        </w:rPr>
        <w:t>Hasan Arthur Altuntaş</w:t>
      </w:r>
    </w:p>
    <w:p>
      <w:pPr>
        <w:spacing w:after="320"/>
        <w:jc w:val="center"/>
      </w:pPr>
      <w:r>
        <w:rPr>
          <w:rFonts w:ascii="Times New Roman" w:hAnsi="Times New Roman" w:cs="Times New Roman" w:eastAsia="Times New Roman"/>
          <w:b w:val="0"/>
          <w:i w:val="0"/>
          <w:color w:val="333333"/>
          <w:sz w:val="15"/>
        </w:rPr>
        <w:t>Düzce Üniversitesi, Mühendislik Fakültesi, Bilgisayar Mühendisliği Bölümü, 81620, Düzce, Türkiye</w:t>
      </w:r>
    </w:p>
    <w:p>
      <w:pPr>
        <w:spacing w:before="160" w:after="40" w:line="240" w:lineRule="auto"/>
        <w:jc w:val="left"/>
        <w:keepNext/>
      </w:pPr>
      <w:r>
        <w:rPr>
          <w:rFonts w:ascii="Times New Roman" w:hAnsi="Times New Roman" w:cs="Times New Roman" w:eastAsia="Times New Roman"/>
          <w:b/>
          <w:i/>
          <w:color w:val="333333"/>
          <w:sz w:val="17"/>
        </w:rPr>
        <w:t>Ö N E   Ç I K A N L A R</w:t>
      </w:r>
    </w:p>
    <w:p>
      <w:pPr>
        <w:spacing w:after="60"/>
        <w:ind w:left="283"/>
      </w:pPr>
      <w:r>
        <w:rPr>
          <w:rFonts w:ascii="Times New Roman" w:hAnsi="Times New Roman" w:cs="Times New Roman" w:eastAsia="Times New Roman"/>
          <w:b w:val="0"/>
          <w:i w:val="0"/>
          <w:color w:val="333333"/>
          <w:sz w:val="17"/>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7"/>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7"/>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7"/>
        </w:rPr>
        <w:t>• Spektral düzlük (spectral flatness) standart sapması, yapay zekâ-insan ayrımı için en bilgilendirici tek öznitelik olarak tespit edilmiştir.</w:t>
      </w:r>
    </w:p>
    <w:p>
      <w:pPr>
        <w:spacing w:before="160" w:after="40" w:line="240" w:lineRule="auto"/>
        <w:jc w:val="left"/>
        <w:keepNext/>
      </w:pPr>
      <w:r>
        <w:rPr>
          <w:rFonts w:ascii="Times New Roman" w:hAnsi="Times New Roman" w:cs="Times New Roman" w:eastAsia="Times New Roman"/>
          <w:b/>
          <w:i/>
          <w:color w:val="333333"/>
          <w:sz w:val="17"/>
        </w:rPr>
        <w:t>Makale Bilgileri</w:t>
      </w:r>
    </w:p>
    <w:p>
      <w:pPr>
        <w:spacing w:line="240" w:lineRule="auto" w:before="0" w:after="120"/>
        <w:ind w:firstLine="283"/>
        <w:jc w:val="both"/>
      </w:pPr>
      <w:r>
        <w:rPr>
          <w:rFonts w:ascii="Times New Roman" w:hAnsi="Times New Roman" w:cs="Times New Roman" w:eastAsia="Times New Roman"/>
          <w:b w:val="0"/>
          <w:i w:val="0"/>
          <w:color w:val="333333"/>
          <w:sz w:val="17"/>
        </w:rPr>
        <w:t>Araştırma Makalesi  ·  Geliş: 20.05.2026  ·  Anahtar Kelimeler: Yapay zekâ tarafından üretilen müzik, derin öğrenme, gradyan artırma, topluluk öğrenmesi, ses sınıflandırması, spektral düzlük.</w:t>
      </w:r>
    </w:p>
    <w:p>
      <w:pPr>
        <w:spacing w:before="160" w:after="40" w:line="240" w:lineRule="auto"/>
        <w:jc w:val="left"/>
        <w:keepNext/>
      </w:pPr>
      <w:r>
        <w:rPr>
          <w:rFonts w:ascii="Times New Roman" w:hAnsi="Times New Roman" w:cs="Times New Roman" w:eastAsia="Times New Roman"/>
          <w:b/>
          <w:i/>
          <w:color w:val="333333"/>
          <w:sz w:val="17"/>
        </w:rPr>
        <w:t>ÖZ</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240" w:lineRule="auto"/>
        <w:jc w:val="left"/>
        <w:keepNext/>
      </w:pPr>
      <w:r>
        <w:rPr>
          <w:rFonts w:ascii="Times New Roman" w:hAnsi="Times New Roman" w:cs="Times New Roman" w:eastAsia="Times New Roman"/>
          <w:b/>
          <w:i/>
          <w:color w:val="333333"/>
          <w:sz w:val="17"/>
        </w:rPr>
        <w:t>Anahtar Kelimeler</w:t>
      </w:r>
    </w:p>
    <w:p>
      <w:pPr>
        <w:spacing w:line="240" w:lineRule="auto" w:before="0" w:after="120"/>
        <w:ind w:firstLine="283"/>
        <w:jc w:val="both"/>
      </w:pPr>
      <w:r>
        <w:rPr>
          <w:rFonts w:ascii="Times New Roman" w:hAnsi="Times New Roman" w:cs="Times New Roman" w:eastAsia="Times New Roman"/>
          <w:b w:val="0"/>
          <w:i w:val="0"/>
          <w:color w:val="333333"/>
          <w:sz w:val="17"/>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240" w:lineRule="auto"/>
        <w:jc w:val="left"/>
        <w:keepNext/>
      </w:pPr>
      <w:r>
        <w:rPr>
          <w:rFonts w:ascii="Times New Roman" w:hAnsi="Times New Roman" w:cs="Times New Roman" w:eastAsia="Times New Roman"/>
          <w:b/>
          <w:i/>
          <w:color w:val="333333"/>
          <w:sz w:val="17"/>
        </w:rPr>
        <w:t>H I G H L I G H T S</w:t>
      </w:r>
    </w:p>
    <w:p>
      <w:pPr>
        <w:spacing w:after="60"/>
        <w:ind w:left="283"/>
      </w:pPr>
      <w:r>
        <w:rPr>
          <w:rFonts w:ascii="Times New Roman" w:hAnsi="Times New Roman" w:cs="Times New Roman" w:eastAsia="Times New Roman"/>
          <w:b w:val="0"/>
          <w:i/>
          <w:color w:val="333333"/>
          <w:sz w:val="17"/>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7"/>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7"/>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7"/>
        </w:rPr>
        <w:t>• Spectral flatness standard deviation emerges as the single most informative feature for the AI-versus-human distinction.</w:t>
      </w:r>
    </w:p>
    <w:p>
      <w:pPr>
        <w:spacing w:before="160" w:after="40" w:line="240" w:lineRule="auto"/>
        <w:jc w:val="left"/>
        <w:keepNext/>
      </w:pPr>
      <w:r>
        <w:rPr>
          <w:rFonts w:ascii="Times New Roman" w:hAnsi="Times New Roman" w:cs="Times New Roman" w:eastAsia="Times New Roman"/>
          <w:b/>
          <w:i/>
          <w:color w:val="333333"/>
          <w:sz w:val="17"/>
        </w:rPr>
        <w:t>ABSTRACT</w:t>
      </w:r>
    </w:p>
    <w:p>
      <w:pPr>
        <w:spacing w:line="240" w:lineRule="auto" w:before="0" w:after="120"/>
        <w:ind w:firstLine="283"/>
        <w:jc w:val="both"/>
      </w:pPr>
      <w:r>
        <w:rPr>
          <w:rFonts w:ascii="Times New Roman" w:hAnsi="Times New Roman" w:cs="Times New Roman" w:eastAsia="Times New Roman"/>
          <w:b w:val="0"/>
          <w:i w:val="0"/>
          <w:color w:val="333333"/>
          <w:sz w:val="17"/>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240" w:lineRule="auto"/>
        <w:jc w:val="left"/>
        <w:keepNext/>
      </w:pPr>
      <w:r>
        <w:rPr>
          <w:rFonts w:ascii="Times New Roman" w:hAnsi="Times New Roman" w:cs="Times New Roman" w:eastAsia="Times New Roman"/>
          <w:b/>
          <w:i/>
          <w:color w:val="333333"/>
          <w:sz w:val="17"/>
        </w:rPr>
        <w:t>Keywords</w:t>
      </w:r>
    </w:p>
    <w:p>
      <w:pPr>
        <w:spacing w:line="240" w:lineRule="auto" w:before="0" w:after="120"/>
        <w:ind w:firstLine="283"/>
        <w:jc w:val="both"/>
      </w:pPr>
      <w:r>
        <w:rPr>
          <w:rFonts w:ascii="Times New Roman" w:hAnsi="Times New Roman" w:cs="Times New Roman" w:eastAsia="Times New Roman"/>
          <w:b w:val="0"/>
          <w:i w:val="0"/>
          <w:color w:val="333333"/>
          <w:sz w:val="17"/>
        </w:rPr>
        <w:t>AI-generated music · Deep learning · Gradient boosting · Ensemble learning · Audio classification · Spectral flatness</w:t>
      </w:r>
    </w:p>
    <w:p>
      <w:pPr>
        <w:sectPr>
          <w:pgSz w:w="11906" w:h="16838"/>
          <w:pgMar w:top="1582" w:right="850" w:bottom="278" w:left="850" w:header="720" w:footer="720" w:gutter="0"/>
          <w:cols w:space="720"/>
          <w:docGrid w:linePitch="360"/>
        </w:sectPr>
      </w:pPr>
    </w:p>
    <w:p>
      <w:pPr>
        <w:spacing w:before="240" w:after="80" w:line="240" w:lineRule="auto"/>
        <w:jc w:val="left"/>
        <w:keepNext/>
      </w:pPr>
      <w:r>
        <w:rPr>
          <w:rFonts w:ascii="Times New Roman" w:hAnsi="Times New Roman" w:cs="Times New Roman" w:eastAsia="Times New Roman"/>
          <w:b/>
          <w:i w:val="0"/>
          <w:color w:val="333333"/>
          <w:sz w:val="17"/>
        </w:rPr>
        <w:t>1. Giriş (Introduction)</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240" w:lineRule="auto" w:before="0" w:after="120"/>
        <w:ind w:firstLine="283"/>
        <w:jc w:val="both"/>
      </w:pPr>
      <w:r>
        <w:rPr>
          <w:rFonts w:ascii="Times New Roman" w:hAnsi="Times New Roman" w:cs="Times New Roman" w:eastAsia="Times New Roman"/>
          <w:b w:val="0"/>
          <w:i w:val="0"/>
          <w:color w:val="333333"/>
          <w:sz w:val="17"/>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240" w:lineRule="auto" w:before="0" w:after="120"/>
        <w:ind w:firstLine="283"/>
        <w:jc w:val="both"/>
      </w:pPr>
      <w:r>
        <w:rPr>
          <w:rFonts w:ascii="Times New Roman" w:hAnsi="Times New Roman" w:cs="Times New Roman" w:eastAsia="Times New Roman"/>
          <w:b w:val="0"/>
          <w:i w:val="0"/>
          <w:color w:val="333333"/>
          <w:sz w:val="17"/>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7"/>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7"/>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7"/>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240" w:lineRule="auto" w:before="0" w:after="120"/>
        <w:ind w:firstLine="283"/>
        <w:jc w:val="both"/>
      </w:pPr>
      <w:r>
        <w:rPr>
          <w:rFonts w:ascii="Times New Roman" w:hAnsi="Times New Roman" w:cs="Times New Roman" w:eastAsia="Times New Roman"/>
          <w:b w:val="0"/>
          <w:i w:val="0"/>
          <w:color w:val="333333"/>
          <w:sz w:val="17"/>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240" w:lineRule="auto"/>
        <w:jc w:val="left"/>
        <w:keepNext/>
      </w:pPr>
      <w:r>
        <w:rPr>
          <w:rFonts w:ascii="Times New Roman" w:hAnsi="Times New Roman" w:cs="Times New Roman" w:eastAsia="Times New Roman"/>
          <w:b/>
          <w:i/>
          <w:color w:val="333333"/>
          <w:sz w:val="17"/>
        </w:rPr>
        <w:t>1.1. Konuşma için Ses Derin Sahte Tespiti (Audio Deepfake Detection for Speech)</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240" w:lineRule="auto"/>
        <w:jc w:val="left"/>
        <w:keepNext/>
      </w:pPr>
      <w:r>
        <w:rPr>
          <w:rFonts w:ascii="Times New Roman" w:hAnsi="Times New Roman" w:cs="Times New Roman" w:eastAsia="Times New Roman"/>
          <w:b/>
          <w:i/>
          <w:color w:val="333333"/>
          <w:sz w:val="17"/>
        </w:rPr>
        <w:t>1.2. Dönüştürücü Tabanlı Ses Temsilleri (Transformer-Based Audio Representations)</w:t>
      </w:r>
    </w:p>
    <w:p>
      <w:pPr>
        <w:spacing w:line="240" w:lineRule="auto" w:before="0" w:after="120"/>
        <w:ind w:firstLine="283"/>
        <w:jc w:val="both"/>
      </w:pPr>
      <w:r>
        <w:rPr>
          <w:rFonts w:ascii="Times New Roman" w:hAnsi="Times New Roman" w:cs="Times New Roman" w:eastAsia="Times New Roman"/>
          <w:b w:val="0"/>
          <w:i w:val="0"/>
          <w:color w:val="333333"/>
          <w:sz w:val="17"/>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240" w:lineRule="auto"/>
        <w:jc w:val="left"/>
        <w:keepNext/>
      </w:pPr>
      <w:r>
        <w:rPr>
          <w:rFonts w:ascii="Times New Roman" w:hAnsi="Times New Roman" w:cs="Times New Roman" w:eastAsia="Times New Roman"/>
          <w:b/>
          <w:i/>
          <w:color w:val="333333"/>
          <w:sz w:val="17"/>
        </w:rPr>
        <w:t>1.3. Ses İçin Topluluk Yöntemleri ve Gradyan Artırma (Ensemble Methods and Gradient Boosting for Audio)</w:t>
      </w:r>
    </w:p>
    <w:p>
      <w:pPr>
        <w:spacing w:line="240" w:lineRule="auto" w:before="0" w:after="120"/>
        <w:ind w:firstLine="283"/>
        <w:jc w:val="both"/>
      </w:pPr>
      <w:r>
        <w:rPr>
          <w:rFonts w:ascii="Times New Roman" w:hAnsi="Times New Roman" w:cs="Times New Roman" w:eastAsia="Times New Roman"/>
          <w:b w:val="0"/>
          <w:i w:val="0"/>
          <w:color w:val="333333"/>
          <w:sz w:val="17"/>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240" w:lineRule="auto"/>
        <w:jc w:val="left"/>
        <w:keepNext/>
      </w:pPr>
      <w:r>
        <w:rPr>
          <w:rFonts w:ascii="Times New Roman" w:hAnsi="Times New Roman" w:cs="Times New Roman" w:eastAsia="Times New Roman"/>
          <w:b/>
          <w:i/>
          <w:color w:val="333333"/>
          <w:sz w:val="17"/>
        </w:rPr>
        <w:t>1.4. GenAI Müzik Üretici Sistemleri (GenAI Music Generation Systems)</w:t>
      </w:r>
    </w:p>
    <w:p>
      <w:pPr>
        <w:spacing w:line="240" w:lineRule="auto" w:before="0" w:after="120"/>
        <w:ind w:firstLine="283"/>
        <w:jc w:val="both"/>
      </w:pPr>
      <w:r>
        <w:rPr>
          <w:rFonts w:ascii="Times New Roman" w:hAnsi="Times New Roman" w:cs="Times New Roman" w:eastAsia="Times New Roman"/>
          <w:b w:val="0"/>
          <w:i w:val="0"/>
          <w:color w:val="333333"/>
          <w:sz w:val="17"/>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240" w:lineRule="auto"/>
        <w:jc w:val="left"/>
        <w:keepNext/>
      </w:pPr>
      <w:r>
        <w:rPr>
          <w:rFonts w:ascii="Times New Roman" w:hAnsi="Times New Roman" w:cs="Times New Roman" w:eastAsia="Times New Roman"/>
          <w:b/>
          <w:i/>
          <w:color w:val="333333"/>
          <w:sz w:val="17"/>
        </w:rPr>
        <w:t>1.5. GenAI Müzik Tespitinde Güncel Gelişmeler (2024-2025) (Recent Advances in GenAI Music Detection (2024-2025))</w:t>
      </w:r>
    </w:p>
    <w:p>
      <w:pPr>
        <w:spacing w:line="240" w:lineRule="auto" w:before="0" w:after="120"/>
        <w:ind w:firstLine="283"/>
        <w:jc w:val="both"/>
      </w:pPr>
      <w:r>
        <w:rPr>
          <w:rFonts w:ascii="Times New Roman" w:hAnsi="Times New Roman" w:cs="Times New Roman" w:eastAsia="Times New Roman"/>
          <w:b w:val="0"/>
          <w:i w:val="0"/>
          <w:color w:val="333333"/>
          <w:sz w:val="17"/>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7"/>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7"/>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240" w:lineRule="auto"/>
        <w:jc w:val="left"/>
        <w:keepNext/>
      </w:pPr>
      <w:r>
        <w:rPr>
          <w:rFonts w:ascii="Times New Roman" w:hAnsi="Times New Roman" w:cs="Times New Roman" w:eastAsia="Times New Roman"/>
          <w:b/>
          <w:i w:val="0"/>
          <w:color w:val="333333"/>
          <w:sz w:val="17"/>
        </w:rPr>
        <w:t>2. Materyal ve Yöntem (Material and Method)</w:t>
      </w:r>
    </w:p>
    <w:p>
      <w:pPr>
        <w:spacing w:line="240" w:lineRule="auto" w:before="0" w:after="120"/>
        <w:ind w:firstLine="283"/>
        <w:jc w:val="both"/>
      </w:pPr>
      <w:r>
        <w:rPr>
          <w:rFonts w:ascii="Times New Roman" w:hAnsi="Times New Roman" w:cs="Times New Roman" w:eastAsia="Times New Roman"/>
          <w:b w:val="0"/>
          <w:i w:val="0"/>
          <w:color w:val="333333"/>
          <w:sz w:val="17"/>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7"/>
        </w:rPr>
        <w:t>(End-to-end AURIS pipeline: audio input, 47-dimensional feature extraction, standardisation, 11-model ensemble, probability fusion and decision threshold.)</w:t>
      </w:r>
    </w:p>
    <w:p>
      <w:pPr>
        <w:spacing w:before="160" w:after="40" w:line="240" w:lineRule="auto"/>
        <w:jc w:val="left"/>
        <w:keepNext/>
      </w:pPr>
      <w:r>
        <w:rPr>
          <w:rFonts w:ascii="Times New Roman" w:hAnsi="Times New Roman" w:cs="Times New Roman" w:eastAsia="Times New Roman"/>
          <w:b/>
          <w:i/>
          <w:color w:val="333333"/>
          <w:sz w:val="17"/>
        </w:rPr>
        <w:t>2.1. Kullanılan Veri Kümesi (Utilized Dataset)</w:t>
      </w:r>
    </w:p>
    <w:p>
      <w:pPr>
        <w:spacing w:line="240" w:lineRule="auto" w:before="0" w:after="120"/>
        <w:ind w:firstLine="283"/>
        <w:jc w:val="both"/>
      </w:pPr>
      <w:r>
        <w:rPr>
          <w:rFonts w:ascii="Times New Roman" w:hAnsi="Times New Roman" w:cs="Times New Roman" w:eastAsia="Times New Roman"/>
          <w:b w:val="0"/>
          <w:i w:val="0"/>
          <w:color w:val="333333"/>
          <w:sz w:val="17"/>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7"/>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7"/>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2.2. Öznitelik Çıkarma (Feature Extraction)</w:t>
      </w:r>
    </w:p>
    <w:p>
      <w:pPr>
        <w:spacing w:line="240" w:lineRule="auto" w:before="0" w:after="120"/>
        <w:ind w:firstLine="283"/>
        <w:jc w:val="both"/>
      </w:pPr>
      <w:r>
        <w:rPr>
          <w:rFonts w:ascii="Times New Roman" w:hAnsi="Times New Roman" w:cs="Times New Roman" w:eastAsia="Times New Roman"/>
          <w:b w:val="0"/>
          <w:i w:val="0"/>
          <w:color w:val="333333"/>
          <w:sz w:val="17"/>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7"/>
        </w:rPr>
        <w:t>(Distribution of the top eight features by LightGBM importance, human (green) versus AI (red). The spectral flatness panels use a log x-axis.)</w:t>
      </w:r>
    </w:p>
    <w:p>
      <w:pPr>
        <w:spacing w:before="160" w:after="40" w:line="240" w:lineRule="auto"/>
        <w:jc w:val="left"/>
        <w:keepNext/>
      </w:pPr>
      <w:r>
        <w:rPr>
          <w:rFonts w:ascii="Times New Roman" w:hAnsi="Times New Roman" w:cs="Times New Roman" w:eastAsia="Times New Roman"/>
          <w:b/>
          <w:i/>
          <w:color w:val="333333"/>
          <w:sz w:val="17"/>
        </w:rPr>
        <w:t>2.3. Sınıflandırma Modelleri (Classification Models)</w:t>
      </w:r>
    </w:p>
    <w:p>
      <w:pPr>
        <w:spacing w:line="240" w:lineRule="auto" w:before="0" w:after="120"/>
        <w:ind w:firstLine="283"/>
        <w:jc w:val="both"/>
      </w:pPr>
      <w:r>
        <w:rPr>
          <w:rFonts w:ascii="Times New Roman" w:hAnsi="Times New Roman" w:cs="Times New Roman" w:eastAsia="Times New Roman"/>
          <w:b w:val="0"/>
          <w:i w:val="0"/>
          <w:color w:val="333333"/>
          <w:sz w:val="17"/>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7"/>
        </w:rPr>
        <w:t>Tablo 3. On bir modelin temel hiperparametreleri</w:t>
      </w:r>
    </w:p>
    <w:p>
      <w:pPr>
        <w:spacing w:before="0" w:after="40"/>
        <w:jc w:val="center"/>
        <w:keepNext/>
      </w:pPr>
      <w:r>
        <w:rPr>
          <w:rFonts w:ascii="Times New Roman" w:hAnsi="Times New Roman" w:cs="Times New Roman" w:eastAsia="Times New Roman"/>
          <w:b w:val="0"/>
          <w:i/>
          <w:color w:val="333333"/>
          <w:sz w:val="17"/>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2.4. Eğitim Protokolü ve Eşik Optimizasyonu (Training Protocol and Threshold Optimisation)</w:t>
      </w:r>
    </w:p>
    <w:p>
      <w:pPr>
        <w:spacing w:line="240" w:lineRule="auto" w:before="0" w:after="120"/>
        <w:ind w:firstLine="283"/>
        <w:jc w:val="both"/>
      </w:pPr>
      <w:r>
        <w:rPr>
          <w:rFonts w:ascii="Times New Roman" w:hAnsi="Times New Roman" w:cs="Times New Roman" w:eastAsia="Times New Roman"/>
          <w:b w:val="0"/>
          <w:i w:val="0"/>
          <w:color w:val="333333"/>
          <w:sz w:val="17"/>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240" w:lineRule="auto" w:before="0" w:after="120"/>
        <w:ind w:firstLine="283"/>
        <w:jc w:val="both"/>
      </w:pPr>
      <w:r>
        <w:rPr>
          <w:rFonts w:ascii="Times New Roman" w:hAnsi="Times New Roman" w:cs="Times New Roman" w:eastAsia="Times New Roman"/>
          <w:b w:val="0"/>
          <w:i w:val="0"/>
          <w:color w:val="333333"/>
          <w:sz w:val="17"/>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240" w:lineRule="auto"/>
        <w:jc w:val="left"/>
        <w:keepNext/>
      </w:pPr>
      <w:r>
        <w:rPr>
          <w:rFonts w:ascii="Times New Roman" w:hAnsi="Times New Roman" w:cs="Times New Roman" w:eastAsia="Times New Roman"/>
          <w:b/>
          <w:i w:val="0"/>
          <w:color w:val="333333"/>
          <w:sz w:val="17"/>
        </w:rPr>
        <w:t>3. Sonuçlar ve Tartışmalar (Results and Discussions)</w:t>
      </w:r>
    </w:p>
    <w:p>
      <w:pPr>
        <w:spacing w:before="160" w:after="40" w:line="240" w:lineRule="auto"/>
        <w:jc w:val="left"/>
        <w:keepNext/>
      </w:pPr>
      <w:r>
        <w:rPr>
          <w:rFonts w:ascii="Times New Roman" w:hAnsi="Times New Roman" w:cs="Times New Roman" w:eastAsia="Times New Roman"/>
          <w:b/>
          <w:i/>
          <w:color w:val="333333"/>
          <w:sz w:val="17"/>
        </w:rPr>
        <w:t>3.1. Genel Model Performansı (Overall Model Performance)</w:t>
      </w:r>
    </w:p>
    <w:p>
      <w:pPr>
        <w:spacing w:line="240" w:lineRule="auto" w:before="0" w:after="120"/>
        <w:ind w:firstLine="283"/>
        <w:jc w:val="both"/>
      </w:pPr>
      <w:r>
        <w:rPr>
          <w:rFonts w:ascii="Times New Roman" w:hAnsi="Times New Roman" w:cs="Times New Roman" w:eastAsia="Times New Roman"/>
          <w:b w:val="0"/>
          <w:i w:val="0"/>
          <w:color w:val="333333"/>
          <w:sz w:val="17"/>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7"/>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7"/>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7"/>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7"/>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7"/>
        </w:rPr>
        <w:t>(Heatmap of accuracy, precision, recall, F1 and ROC-AUC across the eleven models; the best per column is shown in bold.)</w:t>
      </w:r>
    </w:p>
    <w:p>
      <w:pPr>
        <w:spacing w:before="160" w:after="40" w:line="240" w:lineRule="auto"/>
        <w:jc w:val="left"/>
        <w:keepNext/>
      </w:pPr>
      <w:r>
        <w:rPr>
          <w:rFonts w:ascii="Times New Roman" w:hAnsi="Times New Roman" w:cs="Times New Roman" w:eastAsia="Times New Roman"/>
          <w:b/>
          <w:i/>
          <w:color w:val="333333"/>
          <w:sz w:val="17"/>
        </w:rPr>
        <w:t>3.2. Makine Öğrenmesi ve Derin Öğrenme Karşılaştırması (ML versus DL Comparison)</w:t>
      </w:r>
    </w:p>
    <w:p>
      <w:pPr>
        <w:spacing w:line="240" w:lineRule="auto" w:before="0" w:after="120"/>
        <w:ind w:firstLine="283"/>
        <w:jc w:val="both"/>
      </w:pPr>
      <w:r>
        <w:rPr>
          <w:rFonts w:ascii="Times New Roman" w:hAnsi="Times New Roman" w:cs="Times New Roman" w:eastAsia="Times New Roman"/>
          <w:b w:val="0"/>
          <w:i w:val="0"/>
          <w:color w:val="333333"/>
          <w:sz w:val="17"/>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7"/>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7"/>
        </w:rPr>
        <w:t>(Per-epoch training curves for the four deep learning architectures, mean across five folds with ±σ band.)</w:t>
      </w:r>
    </w:p>
    <w:p>
      <w:pPr>
        <w:spacing w:before="160" w:after="40" w:line="240" w:lineRule="auto"/>
        <w:jc w:val="left"/>
        <w:keepNext/>
      </w:pPr>
      <w:r>
        <w:rPr>
          <w:rFonts w:ascii="Times New Roman" w:hAnsi="Times New Roman" w:cs="Times New Roman" w:eastAsia="Times New Roman"/>
          <w:b/>
          <w:i/>
          <w:color w:val="333333"/>
          <w:sz w:val="17"/>
        </w:rPr>
        <w:t>3.3. Katlar-Arası Kararlılık (Cross-Fold Stability)</w:t>
      </w:r>
    </w:p>
    <w:p>
      <w:pPr>
        <w:spacing w:line="240" w:lineRule="auto" w:before="0" w:after="120"/>
        <w:ind w:firstLine="283"/>
        <w:jc w:val="both"/>
      </w:pPr>
      <w:r>
        <w:rPr>
          <w:rFonts w:ascii="Times New Roman" w:hAnsi="Times New Roman" w:cs="Times New Roman" w:eastAsia="Times New Roman"/>
          <w:b w:val="0"/>
          <w:i w:val="0"/>
          <w:color w:val="333333"/>
          <w:sz w:val="17"/>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7"/>
        </w:rPr>
        <w:t>(Per-fold ROC-AUC for all eleven models, mean AUC (descending) and standard deviation. LightGBM combines the highest mean with the lowest fold-to-fold variance (±0.0023).)</w:t>
      </w:r>
    </w:p>
    <w:p>
      <w:pPr>
        <w:spacing w:before="160" w:after="40" w:line="240" w:lineRule="auto"/>
        <w:jc w:val="left"/>
        <w:keepNext/>
      </w:pPr>
      <w:r>
        <w:rPr>
          <w:rFonts w:ascii="Times New Roman" w:hAnsi="Times New Roman" w:cs="Times New Roman" w:eastAsia="Times New Roman"/>
          <w:b/>
          <w:i/>
          <w:color w:val="333333"/>
          <w:sz w:val="17"/>
        </w:rPr>
        <w:t>3.4. Öznitelik Önemi (Feature Importance)</w:t>
      </w:r>
    </w:p>
    <w:p>
      <w:pPr>
        <w:spacing w:line="240" w:lineRule="auto" w:before="0" w:after="120"/>
        <w:ind w:firstLine="283"/>
        <w:jc w:val="both"/>
      </w:pPr>
      <w:r>
        <w:rPr>
          <w:rFonts w:ascii="Times New Roman" w:hAnsi="Times New Roman" w:cs="Times New Roman" w:eastAsia="Times New Roman"/>
          <w:b w:val="0"/>
          <w:i w:val="0"/>
          <w:color w:val="333333"/>
          <w:sz w:val="17"/>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7"/>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7"/>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7"/>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7"/>
        </w:rPr>
        <w:t>(TreeSHAP global effect plot for LightGBM on a 2,000-sample CV slice; each point is one sample, horizontal position is the SHAP value, colour encodes feature magnitude.)</w:t>
      </w:r>
    </w:p>
    <w:p>
      <w:pPr>
        <w:spacing w:before="160" w:after="40" w:line="240" w:lineRule="auto"/>
        <w:jc w:val="left"/>
        <w:keepNext/>
      </w:pPr>
      <w:r>
        <w:rPr>
          <w:rFonts w:ascii="Times New Roman" w:hAnsi="Times New Roman" w:cs="Times New Roman" w:eastAsia="Times New Roman"/>
          <w:b/>
          <w:i/>
          <w:color w:val="333333"/>
          <w:sz w:val="17"/>
        </w:rPr>
        <w:t>3.5. Karmaşıklık Matrisi, Skor Dağılımı ve Kalibrasyon (Confusion Matrix, Score Distribution and Calibration)</w:t>
      </w:r>
    </w:p>
    <w:p>
      <w:pPr>
        <w:spacing w:line="240" w:lineRule="auto" w:before="0" w:after="120"/>
        <w:ind w:firstLine="283"/>
        <w:jc w:val="both"/>
      </w:pPr>
      <w:r>
        <w:rPr>
          <w:rFonts w:ascii="Times New Roman" w:hAnsi="Times New Roman" w:cs="Times New Roman" w:eastAsia="Times New Roman"/>
          <w:b w:val="0"/>
          <w:i w:val="0"/>
          <w:color w:val="333333"/>
          <w:sz w:val="17"/>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7"/>
        </w:rPr>
        <w:t>(Confusion matrix for LightGBM at the Youden-optimal threshold θ* = 0.4316. Cells show sample counts and corresponding within-class percentages.)</w:t>
      </w:r>
    </w:p>
    <w:p>
      <w:pPr>
        <w:spacing w:line="240" w:lineRule="auto" w:before="0" w:after="120"/>
        <w:ind w:firstLine="283"/>
        <w:jc w:val="both"/>
      </w:pPr>
      <w:r>
        <w:rPr>
          <w:rFonts w:ascii="Times New Roman" w:hAnsi="Times New Roman" w:cs="Times New Roman" w:eastAsia="Times New Roman"/>
          <w:b w:val="0"/>
          <w:i w:val="0"/>
          <w:color w:val="333333"/>
          <w:sz w:val="17"/>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7"/>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7"/>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7"/>
        </w:rPr>
        <w:t>(Precision-recall curve for LightGBM; average precision is 0.934, well above the no-skill baseline of 0.401 implied by the 1:1.5 class ratio.)</w:t>
      </w:r>
    </w:p>
    <w:p>
      <w:pPr>
        <w:spacing w:before="160" w:after="40" w:line="240" w:lineRule="auto"/>
        <w:jc w:val="left"/>
        <w:keepNext/>
      </w:pPr>
      <w:r>
        <w:rPr>
          <w:rFonts w:ascii="Times New Roman" w:hAnsi="Times New Roman" w:cs="Times New Roman" w:eastAsia="Times New Roman"/>
          <w:b/>
          <w:i/>
          <w:color w:val="333333"/>
          <w:sz w:val="17"/>
        </w:rPr>
        <w:t>3.6. Eşik Taraması ve Karar Çalışma Noktaları (Threshold Sweep and Decision Operating Points)</w:t>
      </w:r>
    </w:p>
    <w:p>
      <w:pPr>
        <w:spacing w:line="240" w:lineRule="auto" w:before="0" w:after="120"/>
        <w:ind w:firstLine="283"/>
        <w:jc w:val="both"/>
      </w:pPr>
      <w:r>
        <w:rPr>
          <w:rFonts w:ascii="Times New Roman" w:hAnsi="Times New Roman" w:cs="Times New Roman" w:eastAsia="Times New Roman"/>
          <w:b w:val="0"/>
          <w:i w:val="0"/>
          <w:color w:val="333333"/>
          <w:sz w:val="17"/>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7"/>
        </w:rPr>
        <w:t>(Threshold sweep of precision, recall and F1 versus decision threshold for LightGBM. Youden-J optimum θ* = 0.4316 is marked with the dashed line.)</w:t>
      </w:r>
    </w:p>
    <w:p>
      <w:pPr>
        <w:spacing w:before="160" w:after="40" w:line="240" w:lineRule="auto"/>
        <w:jc w:val="left"/>
        <w:keepNext/>
      </w:pPr>
      <w:r>
        <w:rPr>
          <w:rFonts w:ascii="Times New Roman" w:hAnsi="Times New Roman" w:cs="Times New Roman" w:eastAsia="Times New Roman"/>
          <w:b/>
          <w:i/>
          <w:color w:val="333333"/>
          <w:sz w:val="17"/>
        </w:rPr>
        <w:t>3.7. Üretici Bazlı Performans (Per-Generator Performance)</w:t>
      </w:r>
    </w:p>
    <w:p>
      <w:pPr>
        <w:spacing w:line="240" w:lineRule="auto" w:before="0" w:after="120"/>
        <w:ind w:firstLine="283"/>
        <w:jc w:val="both"/>
      </w:pPr>
      <w:r>
        <w:rPr>
          <w:rFonts w:ascii="Times New Roman" w:hAnsi="Times New Roman" w:cs="Times New Roman" w:eastAsia="Times New Roman"/>
          <w:b w:val="0"/>
          <w:i w:val="0"/>
          <w:color w:val="333333"/>
          <w:sz w:val="17"/>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7"/>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7"/>
        </w:rPr>
        <w:t>(Per-class precision, recall and F1 for LightGBM.)</w:t>
      </w:r>
    </w:p>
    <w:p>
      <w:pPr>
        <w:spacing w:before="160" w:after="40" w:line="240" w:lineRule="auto"/>
        <w:jc w:val="left"/>
        <w:keepNext/>
      </w:pPr>
      <w:r>
        <w:rPr>
          <w:rFonts w:ascii="Times New Roman" w:hAnsi="Times New Roman" w:cs="Times New Roman" w:eastAsia="Times New Roman"/>
          <w:b/>
          <w:i/>
          <w:color w:val="333333"/>
          <w:sz w:val="17"/>
        </w:rPr>
        <w:t>3.8. Tartışma (Discussion)</w:t>
      </w:r>
    </w:p>
    <w:p>
      <w:pPr>
        <w:spacing w:line="240" w:lineRule="auto" w:before="0" w:after="120"/>
        <w:ind w:firstLine="283"/>
        <w:jc w:val="both"/>
      </w:pPr>
      <w:r>
        <w:rPr>
          <w:rFonts w:ascii="Times New Roman" w:hAnsi="Times New Roman" w:cs="Times New Roman" w:eastAsia="Times New Roman"/>
          <w:b w:val="0"/>
          <w:i w:val="0"/>
          <w:color w:val="333333"/>
          <w:sz w:val="17"/>
        </w:rPr>
        <w:t>Bu alt bölümde, elde edilen deneysel sonuçlar literatür ışığında ayrıntılı biçimde tartışılmıştır. Spektral düzlük özniteliğinin öznitelik önem sıralamasındaki baskın konumu, daha geniş ses derin sahte literatürüyle [6] tutarlı ve yorumlanabilir bir bulgu niteliğindedir. Spektral düzlük, bir sinyalin güç spektrumunun geometrik ve aritmetik ortalamaları arasındaki oranı ölçerek spektrumun ne kadar tonal veya gürültü-benzeri olduğunu yakalamaktadır. Güncel GenAI üretim sistemleri, algısal kalite ölçütlerini optimize etme eğiliminde olup bunun yan etkisi olarak insan kayıtlarınınkinden sistematik biçimde daha temiz spektrumlar üreten sinyaller ortaya çıkarmaktadır. İnsan kayıtları ise kayıt ortamı, mikrofon ön-yükselticileri ve enstrümantal performansın katkıda bulunduğu geniş bantlı gürültüyü taşımaktadır. Bu yapısal fark, spektral düzlüğün ayırt edici güç olarak öne çıkmasının temel nedenini oluşturmaktadır.</w:t>
      </w:r>
    </w:p>
    <w:p>
      <w:pPr>
        <w:spacing w:line="240" w:lineRule="auto" w:before="0" w:after="120"/>
        <w:ind w:firstLine="283"/>
        <w:jc w:val="both"/>
      </w:pPr>
      <w:r>
        <w:rPr>
          <w:rFonts w:ascii="Times New Roman" w:hAnsi="Times New Roman" w:cs="Times New Roman" w:eastAsia="Times New Roman"/>
          <w:b w:val="0"/>
          <w:i w:val="0"/>
          <w:color w:val="333333"/>
          <w:sz w:val="17"/>
        </w:rPr>
        <w:t>Üretici modeller arası genelleme bağlamında, kullanılan veri kümesinin otoregresif modellerden (MusicGen [1]) difüzyon tabanlı sistemlere (AudioLDM [2]) ve ticari üreticilere (Suno, Udio) kadar on iki veya daha fazla GenAI üretim sistemini kapsadığı görülmektedir. Bu çeşitliliğin temel amacı, modelin tek bir üretici ailenin parmak izlerine aşırı uyum sağlamasını engellemektir. Bölüm 3.7'de raporlanan kaynak bazlı sonuçlar bu yaklaşımın kısmen başarılı olduğunu göstermektedir; Suno ve Echoes parçalarında %88-93 duyarlılık değeri elde edilirken deepfake alt kümesinde bu değer %50'ye düşmektedir. Bu sonuç, Li vd. [5] tarafından alanın açık problemi olarak işaret edilen üretici modeller arası genelleme zorluğunu doğrular niteliktedir.</w:t>
      </w:r>
    </w:p>
    <w:p>
      <w:pPr>
        <w:spacing w:line="240" w:lineRule="auto" w:before="0" w:after="120"/>
        <w:ind w:firstLine="283"/>
        <w:jc w:val="both"/>
      </w:pPr>
      <w:r>
        <w:rPr>
          <w:rFonts w:ascii="Times New Roman" w:hAnsi="Times New Roman" w:cs="Times New Roman" w:eastAsia="Times New Roman"/>
          <w:b w:val="0"/>
          <w:i w:val="0"/>
          <w:color w:val="333333"/>
          <w:sz w:val="17"/>
        </w:rPr>
        <w:t>1D-CNN modelinin diğer mimarilere kıyasla belirgin biçimde düşük performansı (ROC-AUC = 0,8543), mimari bir uyumsuzluğun sonucu olarak değerlendirilmektedir. Tek boyutlu evrişim, bir dizi boyunca yerel korelasyonları kullanmak üzere tasarlanmıştır; ancak önerilen sistemde giriş, sıralanmamış 47 boyutlu düz bir öznitelik vektörüdür ve vektörün bitişik indeksleri ilgisiz miktarlara karşılık gelmektedir. Bu liste boyunca bir çekirdeği kaydıran evrişim işleminin öğrenebileceği anlamlı bir öteleme değişmezliği bulunmadığından, 1D-CNN modeli vektörü bir bütün olarak işleyen diğer üç DL mimarisinin gerisinde kalmakta ve doğruluk açısından Lojistik Regresyon tarafından bile geçilmektedir.</w:t>
      </w:r>
    </w:p>
    <w:p>
      <w:pPr>
        <w:spacing w:line="240" w:lineRule="auto" w:before="0" w:after="120"/>
        <w:ind w:firstLine="283"/>
        <w:jc w:val="both"/>
      </w:pPr>
      <w:r>
        <w:rPr>
          <w:rFonts w:ascii="Times New Roman" w:hAnsi="Times New Roman" w:cs="Times New Roman" w:eastAsia="Times New Roman"/>
          <w:b w:val="0"/>
          <w:i w:val="0"/>
          <w:color w:val="333333"/>
          <w:sz w:val="17"/>
        </w:rPr>
        <w:t>Topluluğun ezberleme eğilimini doğrudan değerlendirmek amacıyla, her modelin eğitim doğruluğu ile 5-katlı çapraz doğrulama doğruluğu karşılaştırmalı olarak incelenmiştir. Şekil 18'de sunulan sonuçlar şu örüntüyü ortaya koymaktadır: Rastgele Orman modeli %100,0 eğitim doğruluğuna karşı çapraz doğrulama altında %86,1 doğruluk elde etmiş olup aradaki 13,9 puanlık fark dikkat çekicidir. LightGBM ve SVM sırasıyla 12,0 ve 13,4 puanlık farklarla bu eğilimi takip etmektedir. XGBoost ve Gradyan Artırma modelleri ise -daha güçlü yerleşik düzenleştirmelerine rağmen- 8-9 puanlık bir fark sergilemektedir. Eğitim ve çapraz doğrulama doğruluklarının esasen örtüştüğü tek topluluk üyesi, yalnızca 0,6 puanlık fark ile Lojistik Regresyon olmuştur. Bu örüntü, ağaç tabanlı toplulukların 5-katlı çapraz doğrulamanın yakalayabildiği ancak tek bir eğitim/test bölünmesinin gizleyebileceği gerçek bir aşırı öğrenme (overfitting) eğilimi taşıdığını göstermektedir. Bu bulgu, %88,0'lık çapraz doğrulama doğruluğunun anlamlı bir performans tavanı olarak yorumlanmasını gerektirmektedir.</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18. Yedi öznitelik tabanlı modelin eğitim ve 5-katlı çapraz doğrulama doğrulukları arasındaki farkın karşılaştırması.</w:t>
      </w:r>
    </w:p>
    <w:p>
      <w:pPr>
        <w:spacing w:before="0" w:after="160"/>
        <w:jc w:val="center"/>
      </w:pPr>
      <w:r>
        <w:rPr>
          <w:rFonts w:ascii="Times New Roman" w:hAnsi="Times New Roman" w:cs="Times New Roman" w:eastAsia="Times New Roman"/>
          <w:b w:val="0"/>
          <w:i/>
          <w:color w:val="333333"/>
          <w:sz w:val="17"/>
        </w:rPr>
        <w:t>(Comparison of training accuracy and 5-fold cross-validation accuracy for the seven feature-based models.)</w:t>
      </w:r>
    </w:p>
    <w:p>
      <w:pPr>
        <w:spacing w:line="240" w:lineRule="auto" w:before="0" w:after="120"/>
        <w:ind w:firstLine="283"/>
        <w:jc w:val="both"/>
      </w:pPr>
      <w:r>
        <w:rPr>
          <w:rFonts w:ascii="Times New Roman" w:hAnsi="Times New Roman" w:cs="Times New Roman" w:eastAsia="Times New Roman"/>
          <w:b w:val="0"/>
          <w:i w:val="0"/>
          <w:color w:val="333333"/>
          <w:sz w:val="17"/>
        </w:rPr>
        <w:t>Öznitelik fazlalığı açısından yapılan analiz, 47 özniteliğin tasarım gereği fazlalıklı bir yapıya sahip olduğunu göstermiştir. Yirmi öznitelik çiftinin |Pearson r| değeri tüm veri kümesi üzerinde 0,85'in üzerinde ölçülmüştür. Bu çiftlerden dördü 0,97 değerini aşmaktadır: has_vocals ile vocal_harmonic_ratio (r = 0,994), pitch_std_cents ile vibrato_extent_cents (0,983), vocal_texture_score ile vocal_harmonic_ratio (0,975) ve has_vocals ile vocal_texture_score (0,974). Vokal olmayan öznitelikler arasında ise spektral merkez, bant genişliği ve azalma ortalamaları sıkı bir küme oluşturmaktadır (ikili r &gt; 0,94). Şekil 19, 47×47 boyutundaki tüm |r| matrisini görselleştirmekte; aşağı-sağda yer alan koyu çapraz-dışı bloklar vokal öznitelik ailesindeki yoğun fazlalığı yansıtmaktadır.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19. 47 öznitelik arasında mutlak Pearson korelasyon ısı haritası.</w:t>
      </w:r>
    </w:p>
    <w:p>
      <w:pPr>
        <w:spacing w:before="0" w:after="160"/>
        <w:jc w:val="center"/>
      </w:pPr>
      <w:r>
        <w:rPr>
          <w:rFonts w:ascii="Times New Roman" w:hAnsi="Times New Roman" w:cs="Times New Roman" w:eastAsia="Times New Roman"/>
          <w:b w:val="0"/>
          <w:i/>
          <w:color w:val="333333"/>
          <w:sz w:val="17"/>
        </w:rPr>
        <w:t>(Absolute Pearson correlation heatmap between the 47 features.)</w:t>
      </w:r>
    </w:p>
    <w:p>
      <w:pPr>
        <w:spacing w:line="240" w:lineRule="auto" w:before="0" w:after="120"/>
        <w:ind w:firstLine="283"/>
        <w:jc w:val="both"/>
      </w:pPr>
      <w:r>
        <w:rPr>
          <w:rFonts w:ascii="Times New Roman" w:hAnsi="Times New Roman" w:cs="Times New Roman" w:eastAsia="Times New Roman"/>
          <w:b w:val="0"/>
          <w:i w:val="0"/>
          <w:color w:val="333333"/>
          <w:sz w:val="17"/>
        </w:rPr>
        <w:t>Öznitelik sayısının model performansına etkisini değerlendirmek amacıyla kapsamlı bir öznitelik çıkarma deneyi gerçekleştirilmiştir. Bu deney kapsamında öznitelikler LightGBM önemine göre sıralanmış ve ilk-N öznitelik için N ∈ {1, 3, 5, 10, 15, 20, 30, 47} değerleri ile 5-katlı çapraz doğrulama tekrarlanmıştır. Şekil 20'de sunulan eğri, N = 10 değerine kadar dik bir artış göstermekte (doğruluk %59,8'den %84,7'ye yükselmekte) ve sonrasında belirgin bir plato sergilemektedir. N = 20 değerinde %88,0, N = 30 değerinde %88,7 doğruluk elde edilmiş; tüm 47 özniteliğin kullanılması ise %88,5 doğruluk vermiştir. Bu sonuç, N = 30 değeri ile bir standart sapma içerisinde eşdeğerdir. Diğer bir ifadeyle, önem sırasına göre sondaki on yedi öznitelik ölçülebilir bir ek doğruluk sağlamamaktadır. Bu bulgu, pratik bir konuşlandırma senaryosunda kalite kaybı yaşanmadan öznitelik vektörünün boyutunun azaltılabileceğini ortaya koymaktadır.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20. LightGBM modelinin 5-katlı çapraz doğrulama doğruluğunun kullanılan öznitelik sayısına bağlı değişimi.</w:t>
      </w:r>
    </w:p>
    <w:p>
      <w:pPr>
        <w:spacing w:before="0" w:after="160"/>
        <w:jc w:val="center"/>
      </w:pPr>
      <w:r>
        <w:rPr>
          <w:rFonts w:ascii="Times New Roman" w:hAnsi="Times New Roman" w:cs="Times New Roman" w:eastAsia="Times New Roman"/>
          <w:b w:val="0"/>
          <w:i/>
          <w:color w:val="333333"/>
          <w:sz w:val="17"/>
        </w:rPr>
        <w:t>(5-fold cross-validation accuracy of LightGBM as a function of the number of features used.)</w:t>
      </w:r>
    </w:p>
    <w:p>
      <w:pPr>
        <w:spacing w:line="240" w:lineRule="auto" w:before="0" w:after="120"/>
        <w:ind w:firstLine="283"/>
        <w:jc w:val="both"/>
      </w:pPr>
      <w:r>
        <w:rPr>
          <w:rFonts w:ascii="Times New Roman" w:hAnsi="Times New Roman" w:cs="Times New Roman" w:eastAsia="Times New Roman"/>
          <w:b w:val="0"/>
          <w:i w:val="0"/>
          <w:color w:val="333333"/>
          <w:sz w:val="17"/>
        </w:rPr>
        <w:t>Önerilen sistemin sınırlamaları açık biçimde değerlendirildiğinde dört temel husus öne çıkmaktadır. Birincisi, öznitelikler 15-30 saniye uzunluğundaki tam ses kliplerinden çıkarılmakta olup daha kısa klipler (&lt; 5 saniye) özellikle tempo ve vibrato istatistikleri için daha az güvenilir tahminler üretebilmektedir; bu nedenle önerilen sistemin canlı mikrofon ve kısa klip senaryolarındaki performansı henüz değerlendirilmemiştir. İkincisi, kullanılan veri kümesi yirmi farklı tür kapsamakla birlikte bazı türlerin (özellikle ambient ve lo-fi) GenAI tarafında aşırı temsil edildiği gözlemlenmiştir; tür katmanlı bir değerlendirme, genelleme kapasitesinin daha titiz biçimde ölçülmesini sağlayacaktır. Üçüncüsü, düşmanca sağlamlık açıkça test edilmemiştir; MP3 sıkıştırma, perde kaydırma ve zaman gerdirme gibi sonradan işleme tekniklerinin vokoder izlerine dayanan sistemlerin performansını düşürdüğü Afchar vd. [7] tarafından raporlanmıştır. AURIS sistemi özniteliklerini vokoder izleri etrafında inşa etmediğinden bu etkiye daha az hassas olması beklenmektedir; ancak bu varsayımın deneysel olarak doğrulanması gerekmektedir. Dördüncüsü, eğitim ile çapraz doğrulama doğrulukları arasında tespit edilen fark, modelin dağılım kayışına karşı duyarlı olduğunu göstermektedir; bu durumun SONICS [23] ve FakeMusicCaps [24] gibi gelişmekte olan kıyaslamalar üzerinde yapılacak resmî değerlendirmelerle teyit edilmesi gerekmektedir.</w:t>
      </w:r>
    </w:p>
    <w:p>
      <w:pPr>
        <w:spacing w:before="240" w:after="80" w:line="240" w:lineRule="auto"/>
        <w:jc w:val="left"/>
        <w:keepNext/>
      </w:pPr>
      <w:r>
        <w:rPr>
          <w:rFonts w:ascii="Times New Roman" w:hAnsi="Times New Roman" w:cs="Times New Roman" w:eastAsia="Times New Roman"/>
          <w:b/>
          <w:i w:val="0"/>
          <w:color w:val="333333"/>
          <w:sz w:val="17"/>
        </w:rPr>
        <w:t>Sonuçlar (Conclusions)</w:t>
      </w:r>
    </w:p>
    <w:p>
      <w:pPr>
        <w:spacing w:line="240" w:lineRule="auto" w:before="0" w:after="120"/>
        <w:ind w:firstLine="283"/>
        <w:jc w:val="both"/>
      </w:pPr>
      <w:r>
        <w:rPr>
          <w:rFonts w:ascii="Times New Roman" w:hAnsi="Times New Roman" w:cs="Times New Roman" w:eastAsia="Times New Roman"/>
          <w:b w:val="0"/>
          <w:i w:val="0"/>
          <w:color w:val="333333"/>
          <w:sz w:val="17"/>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ampirik bulgular şu şekilde özetlenebilir: LightGBM modeli, %95,48 ortalama ROC-AUC değeri ile en yüksek performansı elde etmiş; DMLP ise %95,42 ile çok yakın bir ikinci sırayı almıştır. Ayrıca LightGBM, ±0,0023 standart sapma ile havuzdaki en düşük katlar-arası varyansa sahip modeli oluşturmuştur. Spektral düzlük özniteliği, GenAI ile insan müziği ayrımı için en bilgilendirici tek öznitelik olarak öne çıkmakta; bu örüntü, sentetik ve kaydedilmiş spektrumlar arasındaki fark üzerinden yorumlanabilir bir nitelik taşımaktadır. Youden J ölçütü ile her kat için optimize edilen θ* = 0,4316 karar eşiği, mevcut 1:1,5 sınıf dengesizliği altında varsayılan 0,5 kesim noktasını sistematik biçimde geçmektedir. Tanılayıcı analiz ise iki önemli sınırlamayı açık biçimde ortaya koymaktadır: (𝑖) tüm ağaç tabanlı modeller eğitim ile çapraz doğrulama doğrulukları arasında 8-14 puanlık bir fark sergilemekte ve (𝑖𝑖) 47 özniteliğin önem sırasına göre sondaki yaklaşık on yedisi ölçülebilir bir ek doğruluk sağlamamaktadır.</w:t>
      </w:r>
    </w:p>
    <w:p>
      <w:pPr>
        <w:spacing w:line="240" w:lineRule="auto" w:before="0" w:after="120"/>
        <w:ind w:firstLine="283"/>
        <w:jc w:val="both"/>
      </w:pPr>
      <w:r>
        <w:rPr>
          <w:rFonts w:ascii="Times New Roman" w:hAnsi="Times New Roman" w:cs="Times New Roman" w:eastAsia="Times New Roman"/>
          <w:b w:val="0"/>
          <w:i w:val="0"/>
          <w:color w:val="333333"/>
          <w:sz w:val="17"/>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(adversarial robustness); MP3 sıkıştırma, perde kaydırma ve zaman gerdirme gibi ses manipülasyonları altında açıkça değerlendirilecektir. Dördüncüsü, kullanılan veri kümesi on bin örneğe doğru genişletilecek ve ortaya çıkan yeni GenAI üretim sistemleri kapsama dahil edilecektir; özellikle Li vd. [5] tarafından tanımlanan üretici-modeller arası genelleme zorluğuna odaklanılması hedeflenmektedir.</w:t>
      </w:r>
    </w:p>
    <w:p>
      <w:pPr>
        <w:spacing w:before="240" w:after="80" w:line="240" w:lineRule="auto"/>
        <w:jc w:val="left"/>
        <w:keepNext/>
      </w:pPr>
      <w:r>
        <w:rPr>
          <w:rFonts w:ascii="Times New Roman" w:hAnsi="Times New Roman" w:cs="Times New Roman" w:eastAsia="Times New Roman"/>
          <w:b/>
          <w:i w:val="0"/>
          <w:color w:val="333333"/>
          <w:sz w:val="17"/>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vd.,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vd.,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vd.,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vd.,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vd.,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vd.,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vd.,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vd.,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