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(2024) bu sorunun müzik tespitinin önündeki en büyük engel olduğunu vurgularken, Bhatt vd. (2025) çapraz-üretici genellemenin alanın açık problemi olmaya devam ettiğini ortaya koymuştur [2],[3].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(2020)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Bhatt vd. [2]</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Evet</w:t>
            </w:r>
          </w:p>
        </w:tc>
        <w:tc>
          <w:tcPr>
            <w:tcW w:w="1190" w:type="dxa"/>
            <w:shd w:val="clear" w:color="auto" w:fill="EBF3FB"/>
            <w:vAlign w:val="center"/>
          </w:tcPr>
          <w:p>
            <w:pPr>
              <w:jc w:val="center"/>
            </w:pPr>
            <w:r>
              <w:rPr>
                <w:sz w:val="18"/>
              </w:rPr>
              <w:t xml:space="preserve">Raporlanmadı</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(2023)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(2025)</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(2025)</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arXiv:2409.08283, 2024.</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