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rsidRPr="003F0EC8">
        <w:rPr>
          <w:sz w:val="24"/>
          <w:szCs w:val="24"/>
        </w:rPr>
        <w:t>Suno, MusicGen, Udio ve Echoes gibi üretici yapay zekâ platformlarının yaygınlaşmasıyla yapay zekâ üretimi müzik parçaları içerik akış platformlarında hızla artmaktadır. Bu tez çalışmasında AURIS sistemi tasarlanmış ve geliştirilmiştir. AURIS, ses sinyallerinden 5 kategoride toplam 47 akustik öznitelik çıkarmakta; 7 klasik makine öğrenmesi ve 4 derin öğrenme modelini 5 katlı tabakalı çapraz doğrulama protokolüyle karşılaştırmaktadır. 8 farklı kaynaktan derlenen 5.195 ses kaydı üzerinde eğitilen LightGBM modeli 0,8839 doğruluk, 0,8575 F1-skoru ve 0,9548 ROC-AUC (Brier=0,083) elde etmiştir. Karar eşiği Youden J istatistiğiyle θ*=0,4316 olarak optimize edilmiştir. Sistem Next.js 14 web platformu, Kotlin/Jetpack Compose Android uygulaması ve FastAPI arka ucuyla tam yığın mimaride sunulmuştur. SHAP entegrasyonu her kararı öznitelik bazında açıklanabilir kılmaktadır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rsidRPr="003F0EC8">
        <w:rPr>
          <w:sz w:val="24"/>
          <w:szCs w:val="24"/>
          <w:lang w:val="en-US"/>
        </w:rPr>
        <w:t>The rapid proliferation of generative AI platforms such as Suno, MusicGen, Udio, and Echoes has led to a dramatic increase in AI-generated music on streaming platforms. This thesis presents AURIS, which extracts 47 acoustic features across five categories using librosa and evaluates 11 classification models under 5-fold stratified cross-validation. The best-performing LightGBM achieves 0.9548 ROC-AUC, 88.39% accuracy, 0.8575 F1-score, and Brier score 0.083. Decision threshold is optimized to θ*=0.4316 via Youden's J statistic. SHAP provides feature-level explanations for every decision. The complete system is deployed as a web application on Hugging Face Spaces.</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Yapay zekâ teknolojilerinin müzik üretim alanına girişiyle birlikte Suno, MusicGen, Udio, Echoes, Stable Audio, AudioLDM2, Riffusion ve JEN-1 gibi platformlar dakikalar içinde profesyonel kalitede ses parçaları üretebilir hale gelmiştir. Bu gelişme telif hakkı ihlalleri, streaming gelir kayıpları ve müzik yarışmalarında etik ihlaller gibi ciddi sorunlara zemin hazırlamaktadır [1]. Şekil 1.1'de AURIS sisteminin uçtan uca akış diyagramı verilmektedir; ses girişinden YZ/İnsan kararına kadar her işlem adımı şematik olarak özetlenmiştir.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karar çıkışına uçtan uca işlem hattı.</w:t>
      </w:r>
    </w:p>
    <w:p>
      <w:pPr>
        <w:pStyle w:val="PARAGRAFMETN"/>
      </w:pPr>
      <w:r>
        <w:t xml:space="preserve">Üretici yapay zekâ sistemleri hız ve erişilebilirlik açısından devrimsel fırsatlar sunarken, insan ile yapay zekâ üretimi içerik arasındaki sınırı bulanıklaştırmaktadır. Algoritmik öneri sistemleri yapay zekâ içeriklerini otomatik olarak insanmış gibi sınıflandırabilmekte; bu durum insan sanatçıların streaming gelirlerini olumsuz etkilemekte ve telif hakkı sistemlerini zayıflatmaktadır. Bhatt vd. (2025) çapraz-üretici genellemenin alanın temel açık problemi olduğunu vurgularken, Liu vd. (2024) mevcut yaklaşımların büyük bölümünün tek üreticiye özgü kaldığını ve yeni sistemlere genelleme yapamadığını ortaya koymuştur [3],[15].</w:t>
      </w:r>
    </w:p>
    <w:p>
      <w:pPr>
        <w:pStyle w:val="Balk2"/>
      </w:pPr>
      <w:r>
        <w:t xml:space="preserve">1.2. Araştırma Sorusu ve Hedefler</w:t>
      </w:r>
    </w:p>
    <w:p>
      <w:pPr>
        <w:pStyle w:val="PARAGRAFMETN"/>
      </w:pPr>
      <w:r>
        <w:t xml:space="preserve">Bu çalışmanın temel araştırma sorusu şöyledir: "Spektral, zamansal, ritmik, harmonik ve vokal boyutları kapsayan el ile tasarlanmış 47 boyutlu akustik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Araştırmanın başlıca hedefleri şöyle sıralanabilir: (1) 5 ana kategoride toplam 47 akustik öznitelikten oluşan kapsamlı, yorumlanabilir ve müziğe özgü bir öznitelik vektörü tasarlamak; (2) 8 farklı kaynaktan derlenen 5.195 örnekli gerçek dünya veri kümesi oluşturmak; (3) 7 klasik makine öğrenmesi ve 4 derin öğrenme modelini aynı şeffaf 5 katlı çapraz doğrulama protokolüyle karşılaştırmak; (4) Youden J istatistiğiyle optimal karar eşiği belirlemek; (5) SHAP entegrasyonuyla her kararı öznitelik düzeyinde açıklanabilir kılmak; (6) Sistemi web, Android ve REST API katmanlarıyla üretim ortamına taşımak.</w:t>
      </w:r>
    </w:p>
    <w:p>
      <w:pPr>
        <w:pStyle w:val="Balk2"/>
      </w:pPr>
      <w:r>
        <w:t xml:space="preserve">1.3. BM401–BM498 İki Dönemlik Süreç</w:t>
      </w:r>
    </w:p>
    <w:p>
      <w:pPr>
        <w:pStyle w:val="PARAGRAFMETN"/>
      </w:pPr>
      <w:r>
        <w:t xml:space="preserve">AURIS projesi iki akademik dönem boyunca aşamalı olarak geliştirilmiştir. BM401 (2024–2025 Güz Dönemi) kapsamında wav2vec2 tabanlı bir ön araştırma prototipi tasarlanmış; Next.js 14 web platformu ve Kotlin/Compose Android uygulamasının temel yapısı oluşturulmuştur. Ancak wav2vec2 embedding'lerinin yorumlanamazlığı ve çapraz-üretici genelleme güçlüğü, araştırma odağının köklü biçimde değiştirilmesini zorunlu kılmıştır. BM498 (2024–2025 Bahar Dönemi) kapsamında ise el ile tasarlanmış 47 boyutlu akustik öznitelik vektörüne geçilmiş, veri kümesi 5.195 örneğe genişletilmiş, 11 modelli topluluk sistemi kurulmuş ve SHAP açıklanabilirlik katmanı eklenmiştir.</w:t>
      </w:r>
    </w:p>
    <w:p>
      <w:pPr>
        <w:pStyle w:val="Balk2"/>
      </w:pPr>
      <w:r>
        <w:t xml:space="preserve">1.4. Tez Organizasyonu</w:t>
      </w:r>
    </w:p>
    <w:p>
      <w:pPr>
        <w:pStyle w:val="PARAGRAFMETN"/>
      </w:pPr>
      <w:r>
        <w:t xml:space="preserve">Bu tez altı ana bölümden oluşmaktadır. Bölüm 2'de yapay zekâ müzik üretimi, ses derin sahteciliği tespiti ve transformer tabanlı ses gösterimleri literatürü sistematik olarak incelenmektedir. Bölüm 3'te AURIS'in veri kümesi, öznitelik mühendisliği hattı, model mimarileri, eğitim protokolü ve uygulama mimarisi ayrıntılı biçimde aktarılmaktadır. Bölüm 4'te 11 modelin karşılaştırmalı performans bulguları sunulmaktadır. Bölüm 5'te bulgular literatürle tartışılmaktadır. Bölüm 6'da sonuçlar ve gelecek çalışma önerileri özetlenmektedir.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 son beş yılda üç ana paradigma etrafında şekillenmiştir: otoregresif modeller, difüzyon modelleri ve metin-müzik dönüşümü. Dhariwal vd. (2020) tarafından geliştirilen Jukebox [6], hiyerarşik VQ-VAE mimarisiyle 1,2 milyar parametreye ulaşan ilk büyük ölçekli müzik üretim modelidir; şarkı sözleri ve sanatçı stilini koşul olarak alabilmekte, ham ses formunda çıktı üretebilmektedir. Meta AI tarafından geliştirilen MusicGen (Copet vd., 2023) [5], metin ve melodi koşullandırmalı decoder-only transformer mimarisini EnCodec ses kodlayıcısı üzerine inşa etmiştir; 300M ile 3,3B parametre arasında üç ölçekte açık kaynak lisansıyla yayımlanmıştır. AudioLDM (Liu vd., 2023) [14], CLAP gösterimleriyle koşullandırılan latent difüzyon modelini sese uyarlamıştır.</w:t>
      </w:r>
    </w:p>
    <w:p>
      <w:pPr>
        <w:pStyle w:val="PARAGRAFMETN"/>
      </w:pPr>
      <w:r>
        <w:t xml:space="preserve">Suno (Suno AI, 2023) ve Udio (Udio AI, 2024) ticari olarak en geniş kullanıcı tabanına ulaşan sistemler arasındadır; Suno v4 ve v5, şarkı sözleri üretimini doğrudan entegre etmesi ve yüksek ses kalitesiyle öne çıkmaktadır. Bu sistemlerin ürettiği içeriklerin tespit edilmesi, hem metodolojik hem de pratik açıdan önem taşımaktadır.</w:t>
      </w:r>
    </w:p>
    <w:p>
      <w:pPr>
        <w:pStyle w:val="Balk2"/>
      </w:pPr>
      <w:r>
        <w:t xml:space="preserve">2.2. Ses Derin Sahteciliği ve YZ Müzik Tespiti</w:t>
      </w:r>
    </w:p>
    <w:p>
      <w:pPr>
        <w:pStyle w:val="PARAGRAFMETN"/>
      </w:pPr>
      <w:r>
        <w:t xml:space="preserve">Yapay zekâ üretimi ses tespiti, önce konuşma sentezi ve ses derin sahteciliği alanından ortaya çıkmıştır. WaveFake (Frank ve Schönherr, 2021) [8], yedi farklı vocoder mimarisinin çıktılarını barındıran temel kıyaslama noktasıdır. ADD 2022 Yarışması (Yi vd., 2022) [23], ses derin sahteciliği tespitinde üç farklı zorluk seviyesini kapsayan ilk uluslararası yarışmayı düzenlemiştir. Afchar vd. (2025) [1], IEEE ICASSP 2025'te oto-kodlayıcı artefaktlarından yararlanarak %99,8 doğruluğa ulaşıldığını; ancak MP3 sıkıştırma ve perde kaydırma gibi basit işlemlerin tespit oranlarını önemli ölçüde düşürdüğünü sunmuştur.</w:t>
      </w:r>
    </w:p>
    <w:p>
      <w:pPr>
        <w:pStyle w:val="PARAGRAFMETN"/>
      </w:pPr>
      <w:r>
        <w:t xml:space="preserve">Liu vd. (2024) [15], ses derin sahteciliği tespitinden yapay zekâ üretimi müzik tespitine geçişi kapsamlı biçimde değerlendirmiş; mevcut yaklaşımların büyük bölümünün tek üretici sistemine özgü olduğunu ve yeni sistemlere genelleme yapamadığını ortaya koymuştur. Kosta vd. (2025) [12], Segment Transformer mimarisini önererek müzik yapısal analizi aracılığıyla tespit gerçekleştirmiştir.</w:t>
      </w:r>
    </w:p>
    <w:p>
      <w:pPr>
        <w:pStyle w:val="Balk2"/>
      </w:pPr>
      <w:r>
        <w:t xml:space="preserve">2.3. Transformer Tabanlı Ses Gösterimleri</w:t>
      </w:r>
    </w:p>
    <w:p>
      <w:pPr>
        <w:pStyle w:val="PARAGRAFMETN"/>
      </w:pPr>
      <w:r>
        <w:t xml:space="preserve">wav2vec2 (Baevski vd., 2020) [2], etiketlenmemiş konuşma verisi üzerinde öz-denetimli öğrenme yapan transformer modelidir; Martín-Doñas ve Álvarez (2022) [18] bu modeli ADD 2022 yarışmasına uygulamış ve öznitelik mühendisliği gerektirmeksizin rekabetçi sonuçlar elde etmiştir. CLAP (Elizalde vd., 2023) [7], karşıtsal ön eğitimi ses-metin embedding uzayına genişletmekte; LAION-CLAP varyantı (Wu vd., 2023) [22] 630.000 ses-metin çifti üzerinde eğitilmiştir. Bu yaklaşımlar yüksek performans sunmakla birlikte şeffaflık ve yorumlanabilirlik konusunda sınırlı kalmaktadır.</w:t>
      </w:r>
    </w:p>
    <w:p>
      <w:pPr>
        <w:pStyle w:val="Balk2"/>
      </w:pPr>
      <w:r>
        <w:t xml:space="preserve">2.4. Topluluk Yöntemleri ve Ses Sınıflandırması</w:t>
      </w:r>
    </w:p>
    <w:p>
      <w:pPr>
        <w:pStyle w:val="PARAGRAFMETN"/>
      </w:pPr>
      <w:r>
        <w:t xml:space="preserve">Topluluk yaklaşımları müzik analizi görevlerinde tek model sınıflandırıcılarını tutarlı biçimde geride bırakmaktadır. Kostrzewa vd. (2022) [13], geniş sinir ağı topluluklarının müzik türü sınıflandırmasında varyansı önemli ölçüde azalttığını göstermiştir. Gan vd. (2024) [9], VMD tabanlı öznitelik ayrıştırmasıyla birleştirilen XGBoost'un rekabetçi müzik türü sınıflandırması gerçekleştirdiğini bildirmiştir. Gourisaria vd. (2024) [10], MFCC ve STFT özniteliklerinin karşılaştırmalı analizinde her iki öznitelik setinin birlikte kullanılmasının en iyi sonucu verdiğini bulmuştur.</w:t>
      </w:r>
    </w:p>
    <w:p>
      <w:pPr>
        <w:pStyle w:val="Balk2"/>
      </w:pPr>
      <w:r>
        <w:t xml:space="preserve">2.5. Mevcut Tespit Sistemleri ve Araştırma Boşlukları</w:t>
      </w:r>
    </w:p>
    <w:p>
      <w:pPr>
        <w:pStyle w:val="PARAGRAFMETN"/>
      </w:pPr>
      <w:r>
        <w:t xml:space="preserve">Tablo 2.1'de mevcut başlıca tespit sistemleri AURIS ile karşılaştırmalı olarak özetlenmektedir. IRCAM Amplify ve Believe AI Radar ticari çözümler olup eğitim veri kümesi ve metodoloji şeffaf değildir. AURIS bu boşlukları; (1) kamuya açık çok üreticili veri kümesi, (2) şeffaf 5 katlı çapraz doğrulama, (3) SHAP tabanlı açıklanabilirlik ve (4) ücretsiz web/mobil/API dağıtımı ile kapatmaktadır.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587"/>
        <w:gridCol w:w="1417"/>
        <w:gridCol w:w="1134"/>
        <w:gridCol w:w="1417"/>
        <w:gridCol w:w="1134"/>
      </w:tblGrid>
      <w:tr>
        <w:trPr>
          <w:tblHeader/>
        </w:trPr>
        <w:tc>
          <w:tcPr>
            <w:tcW w:w="2154" w:type="dxa"/>
            <w:shd w:val="clear" w:color="auto" w:fill="1F3864"/>
            <w:vAlign w:val="center"/>
          </w:tcPr>
          <w:p>
            <w:pPr>
              <w:jc w:val="center"/>
            </w:pPr>
            <w:r>
              <w:rPr>
                <w:b/>
                <w:color w:val="FFFFFF"/>
                <w:sz w:val="18"/>
              </w:rPr>
              <w:t xml:space="preserve">Sistem</w:t>
            </w:r>
          </w:p>
        </w:tc>
        <w:tc>
          <w:tcPr>
            <w:tcW w:w="1587" w:type="dxa"/>
            <w:shd w:val="clear" w:color="auto" w:fill="1F3864"/>
            <w:vAlign w:val="center"/>
          </w:tcPr>
          <w:p>
            <w:pPr>
              <w:jc w:val="center"/>
            </w:pPr>
            <w:r>
              <w:rPr>
                <w:b/>
                <w:color w:val="FFFFFF"/>
                <w:sz w:val="18"/>
              </w:rPr>
              <w:t xml:space="preserve">Erişim</w:t>
            </w:r>
          </w:p>
        </w:tc>
        <w:tc>
          <w:tcPr>
            <w:tcW w:w="1417" w:type="dxa"/>
            <w:shd w:val="clear" w:color="auto" w:fill="1F3864"/>
            <w:vAlign w:val="center"/>
          </w:tcPr>
          <w:p>
            <w:pPr>
              <w:jc w:val="center"/>
            </w:pPr>
            <w:r>
              <w:rPr>
                <w:b/>
                <w:color w:val="FFFFFF"/>
                <w:sz w:val="18"/>
              </w:rPr>
              <w:t xml:space="preserve">Şeffaflık</w:t>
            </w:r>
          </w:p>
        </w:tc>
        <w:tc>
          <w:tcPr>
            <w:tcW w:w="1134" w:type="dxa"/>
            <w:shd w:val="clear" w:color="auto" w:fill="1F3864"/>
            <w:vAlign w:val="center"/>
          </w:tcPr>
          <w:p>
            <w:pPr>
              <w:jc w:val="center"/>
            </w:pPr>
            <w:r>
              <w:rPr>
                <w:b/>
                <w:color w:val="FFFFFF"/>
                <w:sz w:val="18"/>
              </w:rPr>
              <w:t xml:space="preserve">SHAP</w:t>
            </w:r>
          </w:p>
        </w:tc>
        <w:tc>
          <w:tcPr>
            <w:tcW w:w="1417" w:type="dxa"/>
            <w:shd w:val="clear" w:color="auto" w:fill="1F3864"/>
            <w:vAlign w:val="center"/>
          </w:tcPr>
          <w:p>
            <w:pPr>
              <w:jc w:val="center"/>
            </w:pPr>
            <w:r>
              <w:rPr>
                <w:b/>
                <w:color w:val="FFFFFF"/>
                <w:sz w:val="18"/>
              </w:rPr>
              <w:t xml:space="preserve">Çok Üretici</w:t>
            </w:r>
          </w:p>
        </w:tc>
        <w:tc>
          <w:tcPr>
            <w:tcW w:w="1134" w:type="dxa"/>
            <w:shd w:val="clear" w:color="auto" w:fill="1F3864"/>
            <w:vAlign w:val="center"/>
          </w:tcPr>
          <w:p>
            <w:pPr>
              <w:jc w:val="center"/>
            </w:pPr>
            <w:r>
              <w:rPr>
                <w:b/>
                <w:color w:val="FFFFFF"/>
                <w:sz w:val="18"/>
              </w:rPr>
              <w:t xml:space="preserve">AUC</w:t>
            </w:r>
          </w:p>
        </w:tc>
      </w:tr>
      <w:tr>
        <w:trPr/>
        <w:tc>
          <w:tcPr>
            <w:tcW w:w="2154" w:type="dxa"/>
            <w:shd w:val="clear" w:color="auto" w:fill="FFFFFF"/>
            <w:vAlign w:val="center"/>
          </w:tcPr>
          <w:p>
            <w:pPr>
              <w:jc w:val="center"/>
            </w:pPr>
            <w:r>
              <w:rPr>
                <w:sz w:val="18"/>
              </w:rPr>
              <w:t xml:space="preserve">IRCAM Amplify</w:t>
            </w:r>
          </w:p>
        </w:tc>
        <w:tc>
          <w:tcPr>
            <w:tcW w:w="1587" w:type="dxa"/>
            <w:shd w:val="clear" w:color="auto" w:fill="FFFFFF"/>
            <w:vAlign w:val="center"/>
          </w:tcPr>
          <w:p>
            <w:pPr>
              <w:jc w:val="center"/>
            </w:pPr>
            <w:r>
              <w:rPr>
                <w:sz w:val="18"/>
              </w:rPr>
              <w:t xml:space="preserve">Ticari API</w:t>
            </w:r>
          </w:p>
        </w:tc>
        <w:tc>
          <w:tcPr>
            <w:tcW w:w="1417" w:type="dxa"/>
            <w:shd w:val="clear" w:color="auto" w:fill="FFFFFF"/>
            <w:vAlign w:val="center"/>
          </w:tcPr>
          <w:p>
            <w:pPr>
              <w:jc w:val="center"/>
            </w:pPr>
            <w:r>
              <w:rPr>
                <w:sz w:val="18"/>
              </w:rPr>
              <w:t xml:space="preserve">Hayır</w:t>
            </w:r>
          </w:p>
        </w:tc>
        <w:tc>
          <w:tcPr>
            <w:tcW w:w="1134" w:type="dxa"/>
            <w:shd w:val="clear" w:color="auto" w:fill="FFFFFF"/>
            <w:vAlign w:val="center"/>
          </w:tcPr>
          <w:p>
            <w:pPr>
              <w:jc w:val="center"/>
            </w:pPr>
            <w:r>
              <w:rPr>
                <w:sz w:val="18"/>
              </w:rPr>
              <w:t xml:space="preserve">Hayır</w:t>
            </w:r>
          </w:p>
        </w:tc>
        <w:tc>
          <w:tcPr>
            <w:tcW w:w="1417" w:type="dxa"/>
            <w:shd w:val="clear" w:color="auto" w:fill="FFFFFF"/>
            <w:vAlign w:val="center"/>
          </w:tcPr>
          <w:p>
            <w:pPr>
              <w:jc w:val="center"/>
            </w:pPr>
            <w:r>
              <w:rPr>
                <w:sz w:val="18"/>
              </w:rPr>
              <w:t xml:space="preserve">Bilinmiyor</w:t>
            </w:r>
          </w:p>
        </w:tc>
        <w:tc>
          <w:tcPr>
            <w:tcW w:w="1134"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587" w:type="dxa"/>
            <w:shd w:val="clear" w:color="auto" w:fill="EBF3FB"/>
            <w:vAlign w:val="center"/>
          </w:tcPr>
          <w:p>
            <w:pPr>
              <w:jc w:val="center"/>
            </w:pPr>
            <w:r>
              <w:rPr>
                <w:sz w:val="18"/>
              </w:rPr>
              <w:t xml:space="preserve">Ticari</w:t>
            </w:r>
          </w:p>
        </w:tc>
        <w:tc>
          <w:tcPr>
            <w:tcW w:w="1417" w:type="dxa"/>
            <w:shd w:val="clear" w:color="auto" w:fill="EBF3FB"/>
            <w:vAlign w:val="center"/>
          </w:tcPr>
          <w:p>
            <w:pPr>
              <w:jc w:val="center"/>
            </w:pPr>
            <w:r>
              <w:rPr>
                <w:sz w:val="18"/>
              </w:rPr>
              <w:t xml:space="preserve">Hayır</w:t>
            </w:r>
          </w:p>
        </w:tc>
        <w:tc>
          <w:tcPr>
            <w:tcW w:w="1134" w:type="dxa"/>
            <w:shd w:val="clear" w:color="auto" w:fill="EBF3FB"/>
            <w:vAlign w:val="center"/>
          </w:tcPr>
          <w:p>
            <w:pPr>
              <w:jc w:val="center"/>
            </w:pPr>
            <w:r>
              <w:rPr>
                <w:sz w:val="18"/>
              </w:rPr>
              <w:t xml:space="preserve">Hayır</w:t>
            </w:r>
          </w:p>
        </w:tc>
        <w:tc>
          <w:tcPr>
            <w:tcW w:w="1417" w:type="dxa"/>
            <w:shd w:val="clear" w:color="auto" w:fill="EBF3FB"/>
            <w:vAlign w:val="center"/>
          </w:tcPr>
          <w:p>
            <w:pPr>
              <w:jc w:val="center"/>
            </w:pPr>
            <w:r>
              <w:rPr>
                <w:sz w:val="18"/>
              </w:rPr>
              <w:t xml:space="preserve">Bilinmiyor</w:t>
            </w:r>
          </w:p>
        </w:tc>
        <w:tc>
          <w:tcPr>
            <w:tcW w:w="1134"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WaveFake tespiti</w:t>
            </w:r>
          </w:p>
        </w:tc>
        <w:tc>
          <w:tcPr>
            <w:tcW w:w="1587" w:type="dxa"/>
            <w:shd w:val="clear" w:color="auto" w:fill="FFFFFF"/>
            <w:vAlign w:val="center"/>
          </w:tcPr>
          <w:p>
            <w:pPr>
              <w:jc w:val="center"/>
            </w:pPr>
            <w:r>
              <w:rPr>
                <w:sz w:val="18"/>
              </w:rPr>
              <w:t xml:space="preserve">Akademik</w:t>
            </w:r>
          </w:p>
        </w:tc>
        <w:tc>
          <w:tcPr>
            <w:tcW w:w="1417" w:type="dxa"/>
            <w:shd w:val="clear" w:color="auto" w:fill="FFFFFF"/>
            <w:vAlign w:val="center"/>
          </w:tcPr>
          <w:p>
            <w:pPr>
              <w:jc w:val="center"/>
            </w:pPr>
            <w:r>
              <w:rPr>
                <w:sz w:val="18"/>
              </w:rPr>
              <w:t xml:space="preserve">Evet</w:t>
            </w:r>
          </w:p>
        </w:tc>
        <w:tc>
          <w:tcPr>
            <w:tcW w:w="1134" w:type="dxa"/>
            <w:shd w:val="clear" w:color="auto" w:fill="FFFFFF"/>
            <w:vAlign w:val="center"/>
          </w:tcPr>
          <w:p>
            <w:pPr>
              <w:jc w:val="center"/>
            </w:pPr>
            <w:r>
              <w:rPr>
                <w:sz w:val="18"/>
              </w:rPr>
              <w:t xml:space="preserve">Hayır</w:t>
            </w:r>
          </w:p>
        </w:tc>
        <w:tc>
          <w:tcPr>
            <w:tcW w:w="1417" w:type="dxa"/>
            <w:shd w:val="clear" w:color="auto" w:fill="FFFFFF"/>
            <w:vAlign w:val="center"/>
          </w:tcPr>
          <w:p>
            <w:pPr>
              <w:jc w:val="center"/>
            </w:pPr>
            <w:r>
              <w:rPr>
                <w:sz w:val="18"/>
              </w:rPr>
              <w:t xml:space="preserve">Kısmi</w:t>
            </w:r>
          </w:p>
        </w:tc>
        <w:tc>
          <w:tcPr>
            <w:tcW w:w="1134" w:type="dxa"/>
            <w:shd w:val="clear" w:color="auto" w:fill="FFFFFF"/>
            <w:vAlign w:val="center"/>
          </w:tcPr>
          <w:p>
            <w:pPr>
              <w:jc w:val="center"/>
            </w:pPr>
            <w:r>
              <w:rPr>
                <w:sz w:val="18"/>
              </w:rPr>
              <w:t xml:space="preserve">0.99+</w:t>
            </w:r>
          </w:p>
        </w:tc>
      </w:tr>
      <w:tr>
        <w:trPr/>
        <w:tc>
          <w:tcPr>
            <w:tcW w:w="2154" w:type="dxa"/>
            <w:shd w:val="clear" w:color="auto" w:fill="EBF3FB"/>
            <w:vAlign w:val="center"/>
          </w:tcPr>
          <w:p>
            <w:pPr>
              <w:jc w:val="center"/>
            </w:pPr>
            <w:r>
              <w:rPr>
                <w:sz w:val="18"/>
              </w:rPr>
              <w:t xml:space="preserve">Segment Transformer</w:t>
            </w:r>
          </w:p>
        </w:tc>
        <w:tc>
          <w:tcPr>
            <w:tcW w:w="1587" w:type="dxa"/>
            <w:shd w:val="clear" w:color="auto" w:fill="EBF3FB"/>
            <w:vAlign w:val="center"/>
          </w:tcPr>
          <w:p>
            <w:pPr>
              <w:jc w:val="center"/>
            </w:pPr>
            <w:r>
              <w:rPr>
                <w:sz w:val="18"/>
              </w:rPr>
              <w:t xml:space="preserve">Akademik</w:t>
            </w:r>
          </w:p>
        </w:tc>
        <w:tc>
          <w:tcPr>
            <w:tcW w:w="1417" w:type="dxa"/>
            <w:shd w:val="clear" w:color="auto" w:fill="EBF3FB"/>
            <w:vAlign w:val="center"/>
          </w:tcPr>
          <w:p>
            <w:pPr>
              <w:jc w:val="center"/>
            </w:pPr>
            <w:r>
              <w:rPr>
                <w:sz w:val="18"/>
              </w:rPr>
              <w:t xml:space="preserve">Evet</w:t>
            </w:r>
          </w:p>
        </w:tc>
        <w:tc>
          <w:tcPr>
            <w:tcW w:w="1134" w:type="dxa"/>
            <w:shd w:val="clear" w:color="auto" w:fill="EBF3FB"/>
            <w:vAlign w:val="center"/>
          </w:tcPr>
          <w:p>
            <w:pPr>
              <w:jc w:val="center"/>
            </w:pPr>
            <w:r>
              <w:rPr>
                <w:sz w:val="18"/>
              </w:rPr>
              <w:t xml:space="preserve">Hayır</w:t>
            </w:r>
          </w:p>
        </w:tc>
        <w:tc>
          <w:tcPr>
            <w:tcW w:w="1417" w:type="dxa"/>
            <w:shd w:val="clear" w:color="auto" w:fill="EBF3FB"/>
            <w:vAlign w:val="center"/>
          </w:tcPr>
          <w:p>
            <w:pPr>
              <w:jc w:val="center"/>
            </w:pPr>
            <w:r>
              <w:rPr>
                <w:sz w:val="18"/>
              </w:rPr>
              <w:t xml:space="preserve">Kısmi</w:t>
            </w:r>
          </w:p>
        </w:tc>
        <w:tc>
          <w:tcPr>
            <w:tcW w:w="1134" w:type="dxa"/>
            <w:shd w:val="clear" w:color="auto" w:fill="EBF3FB"/>
            <w:vAlign w:val="center"/>
          </w:tcPr>
          <w:p>
            <w:pPr>
              <w:jc w:val="center"/>
            </w:pPr>
            <w:r>
              <w:rPr>
                <w:sz w:val="18"/>
              </w:rPr>
              <w:t xml:space="preserve">0.91+</w:t>
            </w:r>
          </w:p>
        </w:tc>
      </w:tr>
      <w:tr>
        <w:trPr/>
        <w:tc>
          <w:tcPr>
            <w:tcW w:w="2154" w:type="dxa"/>
            <w:shd w:val="clear" w:color="auto" w:fill="FFFFFF"/>
            <w:vAlign w:val="center"/>
          </w:tcPr>
          <w:p>
            <w:pPr>
              <w:jc w:val="center"/>
            </w:pPr>
            <w:r>
              <w:rPr>
                <w:sz w:val="18"/>
              </w:rPr>
              <w:t xml:space="preserve">AURIS (bu çalışma)</w:t>
            </w:r>
          </w:p>
        </w:tc>
        <w:tc>
          <w:tcPr>
            <w:tcW w:w="1587" w:type="dxa"/>
            <w:shd w:val="clear" w:color="auto" w:fill="FFFFFF"/>
            <w:vAlign w:val="center"/>
          </w:tcPr>
          <w:p>
            <w:pPr>
              <w:jc w:val="center"/>
            </w:pPr>
            <w:r>
              <w:rPr>
                <w:sz w:val="18"/>
              </w:rPr>
              <w:t xml:space="preserve">Açık/Ücretsiz</w:t>
            </w:r>
          </w:p>
        </w:tc>
        <w:tc>
          <w:tcPr>
            <w:tcW w:w="1417" w:type="dxa"/>
            <w:shd w:val="clear" w:color="auto" w:fill="FFFFFF"/>
            <w:vAlign w:val="center"/>
          </w:tcPr>
          <w:p>
            <w:pPr>
              <w:jc w:val="center"/>
            </w:pPr>
            <w:r>
              <w:rPr>
                <w:sz w:val="18"/>
              </w:rPr>
              <w:t xml:space="preserve">Evet</w:t>
            </w:r>
          </w:p>
        </w:tc>
        <w:tc>
          <w:tcPr>
            <w:tcW w:w="1134" w:type="dxa"/>
            <w:shd w:val="clear" w:color="auto" w:fill="FFFFFF"/>
            <w:vAlign w:val="center"/>
          </w:tcPr>
          <w:p>
            <w:pPr>
              <w:jc w:val="center"/>
            </w:pPr>
            <w:r>
              <w:rPr>
                <w:sz w:val="18"/>
              </w:rPr>
              <w:t xml:space="preserve">Evet</w:t>
            </w:r>
          </w:p>
        </w:tc>
        <w:tc>
          <w:tcPr>
            <w:tcW w:w="1417" w:type="dxa"/>
            <w:shd w:val="clear" w:color="auto" w:fill="FFFFFF"/>
            <w:vAlign w:val="center"/>
          </w:tcPr>
          <w:p>
            <w:pPr>
              <w:jc w:val="center"/>
            </w:pPr>
            <w:r>
              <w:rPr>
                <w:sz w:val="18"/>
              </w:rPr>
              <w:t xml:space="preserve">Evet (12+)</w:t>
            </w:r>
          </w:p>
        </w:tc>
        <w:tc>
          <w:tcPr>
            <w:tcW w:w="1134" w:type="dxa"/>
            <w:shd w:val="clear" w:color="auto" w:fill="FFFFFF"/>
            <w:vAlign w:val="center"/>
          </w:tcPr>
          <w:p>
            <w:pPr>
              <w:jc w:val="center"/>
            </w:pPr>
            <w:r>
              <w:rPr>
                <w:sz w:val="18"/>
              </w:rPr>
              <w:t xml:space="preserve">0.9549</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dört ana modülden oluşmaktadır. (1) Ses Ön İşleme modülü: giriş formatlarını standartlaştırır (MP3, WAV, FLAC, OGG, maks. 50 MB, YouTube bağlantısı); (2) Öznitelik Çıkarma modülü: librosa v0.10.1 ile 47 boyutlu akustik vektör hesaplar; (3) Sınıflandırma modülü: 11 modeli 5 katlı tabakalı çapraz doğrulamayla eğitir ve Youden J eşiği uygular; (4) Açıklama modülü: SHAP değerlerini hesaplar ve kullanıcıya görsel olarak sunar.</w:t>
      </w:r>
    </w:p>
    <w:p>
      <w:pPr>
        <w:pStyle w:val="Balk2"/>
      </w:pPr>
      <w:r>
        <w:t xml:space="preserve">3.2. Veri Kümesi</w:t>
      </w:r>
    </w:p>
    <w:p>
      <w:pPr>
        <w:pStyle w:val="Balk3"/>
      </w:pPr>
      <w:r>
        <w:t xml:space="preserve">3.2.1. Derleme Stratejisi ve Kaynak Dağılımı</w:t>
      </w:r>
    </w:p>
    <w:p>
      <w:pPr>
        <w:pStyle w:val="PARAGRAFMETN"/>
      </w:pPr>
      <w:r>
        <w:t xml:space="preserve">Veri kümesi 5.195 ses kaydından oluşmaktadır: 3.113 insan (%59,9) ve 2.082 yapay zekâ (%40,1). Bilinen yapay zekâ platformlarından gelen örnekler "1" (YZ), insan müziği arşivlerinden gelenler "0" (İnsan) olarak otomatik etiketlenmiştir. Yalnızca Creative Commons lisanslı arşivler kullanılmıştır. Veri sızıntısını önlemek amacıyla duration_sec ve sample_rate meta verileri öznitelik vektörünün dışında tutulmuştur. Tablo 3.1'de kaynak dağılımı ayrıntılı olarak sunulmaktadır.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Ek YZ kaynaklar</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~500</w:t>
            </w:r>
          </w:p>
        </w:tc>
        <w:tc>
          <w:tcPr>
            <w:tcW w:w="2835" w:type="dxa"/>
            <w:shd w:val="clear" w:color="auto" w:fill="EBF3FB"/>
            <w:vAlign w:val="center"/>
          </w:tcPr>
          <w:p>
            <w:pPr>
              <w:jc w:val="center"/>
            </w:pPr>
            <w:r>
              <w:rPr>
                <w:sz w:val="18"/>
              </w:rPr>
              <w:t xml:space="preserve">Çeşitli</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3.2.2. Ön İşleme Hattı</w:t>
      </w:r>
    </w:p>
    <w:p>
      <w:pPr>
        <w:pStyle w:val="PARAGRAFMETN"/>
      </w:pPr>
      <w:r>
        <w:t xml:space="preserve">Tüm ses kayıtları şu standartlaştırma adımlarından geçirilmiştir: (1) 22.050 Hz'ye yeniden örnekleme; (2) Stereo → mono dönüşüm; (3) 30 saniyeyi aşan kayıtlar kırpılmış, daha kısa kayıtlar sıfır dolgulu; (4) Kalite filtresi — minimum 1 saniye uzunluk ve minimum 1×10⁻⁶ RMS genlik; (5) Veri sızıntısı önlemi — duration_sec ve sample_rate öznitelik vektöründen çıkarıldı.</w:t>
      </w:r>
    </w:p>
    <w:p>
      <w:pPr>
        <w:pStyle w:val="Balk2"/>
      </w:pPr>
      <w:r>
        <w:t xml:space="preserve">3.3. Öznitelik Mühendisliği</w:t>
      </w:r>
    </w:p>
    <w:p>
      <w:pPr>
        <w:pStyle w:val="Balk3"/>
      </w:pPr>
      <w:r>
        <w:t xml:space="preserve">3.3.1. 47 Boyutlu Akustik Öznitelik Vektörü</w:t>
      </w:r>
    </w:p>
    <w:p>
      <w:pPr>
        <w:pStyle w:val="PARAGRAFMETN"/>
      </w:pPr>
      <w:r>
        <w:t xml:space="preserve">AURIS, librosa v0.10.1 [19] kullanarak 5 ana kategoride toplam 47 boyutlu öznitelik vektörü çıkarmaktadır. Spektral kategoride (16 öznitelik) MFCC varyans/delta/delta², spectral_centroid, bandwidth, rolloff, flatness, contrast ve regularity yer almaktadır. Zamansal/Ritmik kategoride (10 öznitelik) RMS enerji, standart sapma, dinamik aralık, sıfır geçiş oranı, tempo BPM, stabilite ve CV bulunmaktadır. Onset/Beat kategorisinde (9 öznitelik) onset güç ortalaması/standart sapması, beat sayısı ve IBI stabilitesi yer almaktadır. Harmonik/Tonal kategorisinde (8 öznitelik) chroma entropi, standart sapma ve geçiş hızı, Tonnetz standart sapması ve harmonik oran bulunmaktadır. Vokal/İfadesel kategorisinde (4 öznitelik) perde stabilitesi, vibrato düzenliliği, formant tutarlılığı ve nefes örüntüsü yer almaktadır.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9</w:t>
            </w:r>
          </w:p>
        </w:tc>
        <w:tc>
          <w:tcPr>
            <w:tcW w:w="4536" w:type="dxa"/>
            <w:shd w:val="clear" w:color="auto" w:fill="FFFFFF"/>
            <w:vAlign w:val="center"/>
          </w:tcPr>
          <w:p>
            <w:pPr>
              <w:jc w:val="center"/>
            </w:pPr>
            <w:r>
              <w:rPr>
                <w:sz w:val="18"/>
              </w:rPr>
              <w:t xml:space="preserve">onset_strength_mean, onset_strength_std, beat_count, ibi_stability</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8</w:t>
            </w:r>
          </w:p>
        </w:tc>
        <w:tc>
          <w:tcPr>
            <w:tcW w:w="4536" w:type="dxa"/>
            <w:shd w:val="clear" w:color="auto" w:fill="EBF3FB"/>
            <w:vAlign w:val="center"/>
          </w:tcPr>
          <w:p>
            <w:pPr>
              <w:jc w:val="center"/>
            </w:pPr>
            <w:r>
              <w:rPr>
                <w:sz w:val="18"/>
              </w:rPr>
              <w:t xml:space="preserve">chroma_entropy, chroma_std, tonnetz_std, harmonic_ratio</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4</w:t>
            </w:r>
          </w:p>
        </w:tc>
        <w:tc>
          <w:tcPr>
            <w:tcW w:w="4536" w:type="dxa"/>
            <w:shd w:val="clear" w:color="auto" w:fill="FFFFFF"/>
            <w:vAlign w:val="center"/>
          </w:tcPr>
          <w:p>
            <w:pPr>
              <w:jc w:val="center"/>
            </w:pPr>
            <w:r>
              <w:rPr>
                <w:sz w:val="18"/>
              </w:rPr>
              <w:t xml:space="preserve">pitch_stability_score, vibrato_regularity, formant_consistency</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3.3.2.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scikit-learn [21], XGBoost [4] ve LightGBM [11] ile toplam 7 model eğitilmiştir. Lojistik Regresyon: L2 düzenlileştirme, C=2,0, class_weight=balanced, çözücü=lbfgs, max_iter=1000. Rastgele Orman: n_estimators=500, max_features=log2, class_weight=balanced. Gradyan Artırma: n_estimators=180, max_depth=4, learning_rate=0,07. SVM-RBF: C=10, gamma=0,05, CalibratedClassifierCV sarmalayıcı. Çok Katmanlı Algılayıcı (MO): gizli_katmanlar=[192, 96, 32], alpha=0,001, aktivasyon=relu. XGBoost: n_estimators=240, max_depth=5, learning_rate=0,06, subsample=0,85, eval_metric=auc. LightGBM: n_estimators=300, num_leaves=31, learning_rate=0,05, class_weight=balanced, verbose=-1.</w:t>
      </w:r>
    </w:p>
    <w:p>
      <w:pPr>
        <w:pStyle w:val="Balk3"/>
      </w:pPr>
      <w:r>
        <w:t xml:space="preserve">3.4.2. Derin Öğrenme Modelleri</w:t>
      </w:r>
    </w:p>
    <w:p>
      <w:pPr>
        <w:pStyle w:val="PARAGRAFMETN"/>
      </w:pPr>
      <w:r>
        <w:t xml:space="preserve">PyTorch [20] ile 4 derin öğrenme modeli tasarlanmıştır. Tüm modellerde BCEWithLogitsLoss (pos_weight=1,5) ve Adam (lr=1e-3) ortak kullanılmıştır. Derin ÇKA (Deep MLP): katmanlar=[512, 256, 128, 64, 1], BatchNorm + Dropout(0,3), eğitim süresi 81,4 sn. 1B Evrişimli Sinir Ağı (1B-ESA): Conv1D(1→32→64→128) + GlobalAvgPool + FC(128→1), eğitim süresi 125,0 sn. Artık ÇKA (ResidualMLP): 3 artık blok × 64 boyut + FC, artık bağlantılar, eğitim süresi 128,7 sn. Dikkat ÇKA (AttentionMLP): öz-dikkat başlığı (64 boyut) + ileri beslemeli katmanlar, eğitim süresi 149,6 sn.</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StratifiedKFold (k=5, random_state=42) ile değerlendirilmiştir. Tabakalama, her katlamada sınıf dağılımını (%59,9 İnsan / %40,1 YZ) korumaktadır. StandardScaler yalnızca eğitim alt kümesine uyarlanmış, doğrulama alt kümesine transform uygulanmıştır — veri sızıntısını önleyen sızdırmaz ölçekleme. Derin öğrenme modelleri için erken durdurma (patience=10, val_loss izleme) uygulanmıştır. Şekil 3.5'te eğitim ve çapraz doğrulama doğrulukları karşılaştırılmaktadır.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 aşırı öğrenme tanısı (11 model).</w:t>
      </w:r>
    </w:p>
    <w:p>
      <w:pPr>
        <w:pStyle w:val="Balk3"/>
      </w:pPr>
      <w:r>
        <w:t xml:space="preserve">3.5.2. Youden J Eşik Optimizasyonu</w:t>
      </w:r>
    </w:p>
    <w:p>
      <w:pPr>
        <w:pStyle w:val="PARAGRAFMETN"/>
      </w:pPr>
      <w:r>
        <w:t xml:space="preserve">Her katlama için θ* = argmax(Duyarlılık + Özgüllük − 1) formülüyle optimal karar eşiği belirlenmektedir. LightGBM için θ* = 0,4316 olarak hesaplanmıştır; bu değer varsayılan 0,5 eşiğine kıyasla dengeli hata profili sağlamaktadır. Şekil 3.6'da eşik taraması grafiği sunulmakta; Kesinlik, Duyarlılık, F1 ve Doğruluk eğrilerinin θ=0,4316'da optimuma ulaştığı açıkça görülmektedir.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Youden-J optimum: θ*=0,4316.</w:t>
      </w:r>
    </w:p>
    <w:p>
      <w:pPr>
        <w:pStyle w:val="Balk2"/>
      </w:pPr>
      <w:r>
        <w:t xml:space="preserve">3.6. SHAP Açıklanabilirlik Entegrasyonu</w:t>
      </w:r>
    </w:p>
    <w:p>
      <w:pPr>
        <w:pStyle w:val="PARAGRAFMETN"/>
      </w:pPr>
      <w:r>
        <w:t xml:space="preserve">AURIS, her tahmin için SHAP (Shapley Additive exPlanations, Lundberg ve Lee, 2017) [17] değerlerini hesaplamaktadır. LightGBM'in TreeExplainer arayüzü SHAP değerlerini polinom zamanda hesaplamakta; bu özellik gerçek zamanlı kullanım için pratik bir avantaj sağlamaktadır. Kullanıcıya her analizde hangi özniteliklerin YZ ya da İnsan kararına ne kadar katkı yaptığı beeswarm ve waterfall grafikleriyle görsel olarak sunulmaktadır.</w:t>
      </w:r>
    </w:p>
    <w:p>
      <w:pPr>
        <w:pStyle w:val="Balk2"/>
      </w:pPr>
      <w:r>
        <w:t xml:space="preserve">3.7. Uygulama Mimarisi</w:t>
      </w:r>
    </w:p>
    <w:p>
      <w:pPr>
        <w:pStyle w:val="PARAGRAFMETN"/>
      </w:pPr>
      <w:r>
        <w:t xml:space="preserve">AURIS üç katmanlı bir uygulama mimarisine sahiptir. Web platformu Next.js 14 + TypeScript ile geliştirilmiş; Netlify CDN üzerinde statik dağıtım yapılmaktadır. Android uygulaması Kotlin + Jetpack Compose ile MVVM/Clean Architecture deseni, Hilt bağımlılık enjeksiyonu, Retrofit HTTP istemcisi ve Room kalıcı depolama kullanılarak Android API 26+ (8.0+) için geliştirilmiştir. FastAPI arka ucu Python 3.11 ile HuggingFace Spaces üzerinde 7860 portunda Docker konteyneri olarak çalışmaktadır.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dosya yükleme ve YouTube analiz bölümü.</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uygulaması analiz ekranı — sonuç ve SHAP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tüm 11 modelin Doğruluk, F1 Skoru ve ROC-AUC değerleri tek tabloda bir arada sunulmaktadır. Her sütundaki en yüksek değer kalın ile gösterilmiştir; LightGBM ROC-AUC'ta, Derin ÇKA ise Doğruluk ve F1 Skorunda öne çıkmaktadır.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81"/>
        <w:gridCol w:w="1020"/>
        <w:gridCol w:w="1701"/>
        <w:gridCol w:w="1701"/>
        <w:gridCol w:w="1701"/>
      </w:tblGrid>
      <w:tr>
        <w:trPr>
          <w:tblHeader/>
        </w:trPr>
        <w:tc>
          <w:tcPr>
            <w:tcW w:w="2381" w:type="dxa"/>
            <w:shd w:val="clear" w:color="auto" w:fill="1F3864"/>
            <w:vAlign w:val="center"/>
          </w:tcPr>
          <w:p>
            <w:pPr>
              <w:jc w:val="center"/>
            </w:pPr>
            <w:r>
              <w:rPr>
                <w:b/>
                <w:color w:val="FFFFFF"/>
                <w:sz w:val="18"/>
              </w:rPr>
              <w:t xml:space="preserve">Model</w:t>
            </w:r>
          </w:p>
        </w:tc>
        <w:tc>
          <w:tcPr>
            <w:tcW w:w="1020"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Doğruluk</w:t>
            </w:r>
          </w:p>
        </w:tc>
        <w:tc>
          <w:tcPr>
            <w:tcW w:w="1701" w:type="dxa"/>
            <w:shd w:val="clear" w:color="auto" w:fill="1F3864"/>
            <w:vAlign w:val="center"/>
          </w:tcPr>
          <w:p>
            <w:pPr>
              <w:jc w:val="center"/>
            </w:pPr>
            <w:r>
              <w:rPr>
                <w:b/>
                <w:color w:val="FFFFFF"/>
                <w:sz w:val="18"/>
              </w:rPr>
              <w:t xml:space="preserve">F1 Skoru</w:t>
            </w:r>
          </w:p>
        </w:tc>
        <w:tc>
          <w:tcPr>
            <w:tcW w:w="1701" w:type="dxa"/>
            <w:shd w:val="clear" w:color="auto" w:fill="1F3864"/>
            <w:vAlign w:val="center"/>
          </w:tcPr>
          <w:p>
            <w:pPr>
              <w:jc w:val="center"/>
            </w:pPr>
            <w:r>
              <w:rPr>
                <w:b/>
                <w:color w:val="FFFFFF"/>
                <w:sz w:val="18"/>
              </w:rPr>
              <w:t xml:space="preserve">ROC-AUC</w:t>
            </w:r>
          </w:p>
        </w:tc>
      </w:tr>
      <w:tr>
        <w:trPr/>
        <w:tc>
          <w:tcPr>
            <w:tcW w:w="2381" w:type="dxa"/>
            <w:shd w:val="clear" w:color="auto" w:fill="FFFFFF"/>
            <w:vAlign w:val="center"/>
          </w:tcPr>
          <w:p>
            <w:pPr>
              <w:jc w:val="center"/>
            </w:pPr>
            <w:r>
              <w:rPr>
                <w:sz w:val="18"/>
              </w:rPr>
              <w:t xml:space="preserve">Derin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0,8849 ★</w:t>
            </w:r>
          </w:p>
        </w:tc>
        <w:tc>
          <w:tcPr>
            <w:tcW w:w="1701" w:type="dxa"/>
            <w:shd w:val="clear" w:color="auto" w:fill="FFFFFF"/>
            <w:vAlign w:val="center"/>
          </w:tcPr>
          <w:p>
            <w:pPr>
              <w:jc w:val="center"/>
            </w:pPr>
            <w:r>
              <w:rPr>
                <w:sz w:val="18"/>
              </w:rPr>
              <w:t xml:space="preserve">0,8596 ★</w:t>
            </w:r>
          </w:p>
        </w:tc>
        <w:tc>
          <w:tcPr>
            <w:tcW w:w="1701" w:type="dxa"/>
            <w:shd w:val="clear" w:color="auto" w:fill="FFFFFF"/>
            <w:vAlign w:val="center"/>
          </w:tcPr>
          <w:p>
            <w:pPr>
              <w:jc w:val="center"/>
            </w:pPr>
            <w:r>
              <w:rPr>
                <w:sz w:val="18"/>
              </w:rPr>
              <w:t xml:space="preserve">0,9537</w:t>
            </w:r>
          </w:p>
        </w:tc>
      </w:tr>
      <w:tr>
        <w:trPr/>
        <w:tc>
          <w:tcPr>
            <w:tcW w:w="2381" w:type="dxa"/>
            <w:shd w:val="clear" w:color="auto" w:fill="EBF3FB"/>
            <w:vAlign w:val="center"/>
          </w:tcPr>
          <w:p>
            <w:pPr>
              <w:jc w:val="center"/>
            </w:pPr>
            <w:r>
              <w:rPr>
                <w:sz w:val="18"/>
              </w:rPr>
              <w:t xml:space="preserve">LightGBM</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0,8839</w:t>
            </w:r>
          </w:p>
        </w:tc>
        <w:tc>
          <w:tcPr>
            <w:tcW w:w="1701" w:type="dxa"/>
            <w:shd w:val="clear" w:color="auto" w:fill="EBF3FB"/>
            <w:vAlign w:val="center"/>
          </w:tcPr>
          <w:p>
            <w:pPr>
              <w:jc w:val="center"/>
            </w:pPr>
            <w:r>
              <w:rPr>
                <w:sz w:val="18"/>
              </w:rPr>
              <w:t xml:space="preserve">0,8575</w:t>
            </w:r>
          </w:p>
        </w:tc>
        <w:tc>
          <w:tcPr>
            <w:tcW w:w="1701" w:type="dxa"/>
            <w:shd w:val="clear" w:color="auto" w:fill="EBF3FB"/>
            <w:vAlign w:val="center"/>
          </w:tcPr>
          <w:p>
            <w:pPr>
              <w:jc w:val="center"/>
            </w:pPr>
            <w:r>
              <w:rPr>
                <w:sz w:val="18"/>
              </w:rPr>
              <w:t xml:space="preserve">0,9549 ★</w:t>
            </w:r>
          </w:p>
        </w:tc>
      </w:tr>
      <w:tr>
        <w:trPr/>
        <w:tc>
          <w:tcPr>
            <w:tcW w:w="2381" w:type="dxa"/>
            <w:shd w:val="clear" w:color="auto" w:fill="FFFFFF"/>
            <w:vAlign w:val="center"/>
          </w:tcPr>
          <w:p>
            <w:pPr>
              <w:jc w:val="center"/>
            </w:pPr>
            <w:r>
              <w:rPr>
                <w:sz w:val="18"/>
              </w:rPr>
              <w:t xml:space="preserve">Artık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0,8756</w:t>
            </w:r>
          </w:p>
        </w:tc>
        <w:tc>
          <w:tcPr>
            <w:tcW w:w="1701" w:type="dxa"/>
            <w:shd w:val="clear" w:color="auto" w:fill="FFFFFF"/>
            <w:vAlign w:val="center"/>
          </w:tcPr>
          <w:p>
            <w:pPr>
              <w:jc w:val="center"/>
            </w:pPr>
            <w:r>
              <w:rPr>
                <w:sz w:val="18"/>
              </w:rPr>
              <w:t xml:space="preserve">0,8476</w:t>
            </w:r>
          </w:p>
        </w:tc>
        <w:tc>
          <w:tcPr>
            <w:tcW w:w="1701" w:type="dxa"/>
            <w:shd w:val="clear" w:color="auto" w:fill="FFFFFF"/>
            <w:vAlign w:val="center"/>
          </w:tcPr>
          <w:p>
            <w:pPr>
              <w:jc w:val="center"/>
            </w:pPr>
            <w:r>
              <w:rPr>
                <w:sz w:val="18"/>
              </w:rPr>
              <w:t xml:space="preserve">0,9453</w:t>
            </w:r>
          </w:p>
        </w:tc>
      </w:tr>
      <w:tr>
        <w:trPr/>
        <w:tc>
          <w:tcPr>
            <w:tcW w:w="2381" w:type="dxa"/>
            <w:shd w:val="clear" w:color="auto" w:fill="EBF3FB"/>
            <w:vAlign w:val="center"/>
          </w:tcPr>
          <w:p>
            <w:pPr>
              <w:jc w:val="center"/>
            </w:pPr>
            <w:r>
              <w:rPr>
                <w:sz w:val="18"/>
              </w:rPr>
              <w:t xml:space="preserve">XGBoost</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0,8735</w:t>
            </w:r>
          </w:p>
        </w:tc>
        <w:tc>
          <w:tcPr>
            <w:tcW w:w="1701" w:type="dxa"/>
            <w:shd w:val="clear" w:color="auto" w:fill="EBF3FB"/>
            <w:vAlign w:val="center"/>
          </w:tcPr>
          <w:p>
            <w:pPr>
              <w:jc w:val="center"/>
            </w:pPr>
            <w:r>
              <w:rPr>
                <w:sz w:val="18"/>
              </w:rPr>
              <w:t xml:space="preserve">0,8402</w:t>
            </w:r>
          </w:p>
        </w:tc>
        <w:tc>
          <w:tcPr>
            <w:tcW w:w="1701" w:type="dxa"/>
            <w:shd w:val="clear" w:color="auto" w:fill="EBF3FB"/>
            <w:vAlign w:val="center"/>
          </w:tcPr>
          <w:p>
            <w:pPr>
              <w:jc w:val="center"/>
            </w:pPr>
            <w:r>
              <w:rPr>
                <w:sz w:val="18"/>
              </w:rPr>
              <w:t xml:space="preserve">0,9463</w:t>
            </w:r>
          </w:p>
        </w:tc>
      </w:tr>
      <w:tr>
        <w:trPr/>
        <w:tc>
          <w:tcPr>
            <w:tcW w:w="2381" w:type="dxa"/>
            <w:shd w:val="clear" w:color="auto" w:fill="FFFFFF"/>
            <w:vAlign w:val="center"/>
          </w:tcPr>
          <w:p>
            <w:pPr>
              <w:jc w:val="center"/>
            </w:pPr>
            <w:r>
              <w:rPr>
                <w:sz w:val="18"/>
              </w:rPr>
              <w:t xml:space="preserve">Dikkat ÇKA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0,8628</w:t>
            </w:r>
          </w:p>
        </w:tc>
        <w:tc>
          <w:tcPr>
            <w:tcW w:w="1701" w:type="dxa"/>
            <w:shd w:val="clear" w:color="auto" w:fill="FFFFFF"/>
            <w:vAlign w:val="center"/>
          </w:tcPr>
          <w:p>
            <w:pPr>
              <w:jc w:val="center"/>
            </w:pPr>
            <w:r>
              <w:rPr>
                <w:sz w:val="18"/>
              </w:rPr>
              <w:t xml:space="preserve">0,8293</w:t>
            </w:r>
          </w:p>
        </w:tc>
        <w:tc>
          <w:tcPr>
            <w:tcW w:w="1701" w:type="dxa"/>
            <w:shd w:val="clear" w:color="auto" w:fill="FFFFFF"/>
            <w:vAlign w:val="center"/>
          </w:tcPr>
          <w:p>
            <w:pPr>
              <w:jc w:val="center"/>
            </w:pPr>
            <w:r>
              <w:rPr>
                <w:sz w:val="18"/>
              </w:rPr>
              <w:t xml:space="preserve">0,9356</w:t>
            </w:r>
          </w:p>
        </w:tc>
      </w:tr>
      <w:tr>
        <w:trPr/>
        <w:tc>
          <w:tcPr>
            <w:tcW w:w="2381" w:type="dxa"/>
            <w:shd w:val="clear" w:color="auto" w:fill="EBF3FB"/>
            <w:vAlign w:val="center"/>
          </w:tcPr>
          <w:p>
            <w:pPr>
              <w:jc w:val="center"/>
            </w:pPr>
            <w:r>
              <w:rPr>
                <w:sz w:val="18"/>
              </w:rPr>
              <w:t xml:space="preserve">SVM-RBF</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0,8612</w:t>
            </w:r>
          </w:p>
        </w:tc>
        <w:tc>
          <w:tcPr>
            <w:tcW w:w="1701" w:type="dxa"/>
            <w:shd w:val="clear" w:color="auto" w:fill="EBF3FB"/>
            <w:vAlign w:val="center"/>
          </w:tcPr>
          <w:p>
            <w:pPr>
              <w:jc w:val="center"/>
            </w:pPr>
            <w:r>
              <w:rPr>
                <w:sz w:val="18"/>
              </w:rPr>
              <w:t xml:space="preserve">0,8252</w:t>
            </w:r>
          </w:p>
        </w:tc>
        <w:tc>
          <w:tcPr>
            <w:tcW w:w="1701" w:type="dxa"/>
            <w:shd w:val="clear" w:color="auto" w:fill="EBF3FB"/>
            <w:vAlign w:val="center"/>
          </w:tcPr>
          <w:p>
            <w:pPr>
              <w:jc w:val="center"/>
            </w:pPr>
            <w:r>
              <w:rPr>
                <w:sz w:val="18"/>
              </w:rPr>
              <w:t xml:space="preserve">0,9347</w:t>
            </w:r>
          </w:p>
        </w:tc>
      </w:tr>
      <w:tr>
        <w:trPr/>
        <w:tc>
          <w:tcPr>
            <w:tcW w:w="2381" w:type="dxa"/>
            <w:shd w:val="clear" w:color="auto" w:fill="FFFFFF"/>
            <w:vAlign w:val="center"/>
          </w:tcPr>
          <w:p>
            <w:pPr>
              <w:jc w:val="center"/>
            </w:pPr>
            <w:r>
              <w:rPr>
                <w:sz w:val="18"/>
              </w:rPr>
              <w:t xml:space="preserve">Gradyan Artırma</w:t>
            </w:r>
          </w:p>
        </w:tc>
        <w:tc>
          <w:tcPr>
            <w:tcW w:w="102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0,8685</w:t>
            </w:r>
          </w:p>
        </w:tc>
        <w:tc>
          <w:tcPr>
            <w:tcW w:w="1701" w:type="dxa"/>
            <w:shd w:val="clear" w:color="auto" w:fill="FFFFFF"/>
            <w:vAlign w:val="center"/>
          </w:tcPr>
          <w:p>
            <w:pPr>
              <w:jc w:val="center"/>
            </w:pPr>
            <w:r>
              <w:rPr>
                <w:sz w:val="18"/>
              </w:rPr>
              <w:t xml:space="preserve">0,8337</w:t>
            </w:r>
          </w:p>
        </w:tc>
        <w:tc>
          <w:tcPr>
            <w:tcW w:w="1701" w:type="dxa"/>
            <w:shd w:val="clear" w:color="auto" w:fill="FFFFFF"/>
            <w:vAlign w:val="center"/>
          </w:tcPr>
          <w:p>
            <w:pPr>
              <w:jc w:val="center"/>
            </w:pPr>
            <w:r>
              <w:rPr>
                <w:sz w:val="18"/>
              </w:rPr>
              <w:t xml:space="preserve">0,9406</w:t>
            </w:r>
          </w:p>
        </w:tc>
      </w:tr>
      <w:tr>
        <w:trPr/>
        <w:tc>
          <w:tcPr>
            <w:tcW w:w="2381" w:type="dxa"/>
            <w:shd w:val="clear" w:color="auto" w:fill="EBF3FB"/>
            <w:vAlign w:val="center"/>
          </w:tcPr>
          <w:p>
            <w:pPr>
              <w:jc w:val="center"/>
            </w:pPr>
            <w:r>
              <w:rPr>
                <w:sz w:val="18"/>
              </w:rPr>
              <w:t xml:space="preserve">Rastgele Orman</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0,8604</w:t>
            </w:r>
          </w:p>
        </w:tc>
        <w:tc>
          <w:tcPr>
            <w:tcW w:w="1701" w:type="dxa"/>
            <w:shd w:val="clear" w:color="auto" w:fill="EBF3FB"/>
            <w:vAlign w:val="center"/>
          </w:tcPr>
          <w:p>
            <w:pPr>
              <w:jc w:val="center"/>
            </w:pPr>
            <w:r>
              <w:rPr>
                <w:sz w:val="18"/>
              </w:rPr>
              <w:t xml:space="preserve">0,8183</w:t>
            </w:r>
          </w:p>
        </w:tc>
        <w:tc>
          <w:tcPr>
            <w:tcW w:w="1701" w:type="dxa"/>
            <w:shd w:val="clear" w:color="auto" w:fill="EBF3FB"/>
            <w:vAlign w:val="center"/>
          </w:tcPr>
          <w:p>
            <w:pPr>
              <w:jc w:val="center"/>
            </w:pPr>
            <w:r>
              <w:rPr>
                <w:sz w:val="18"/>
              </w:rPr>
              <w:t xml:space="preserve">0,9393</w:t>
            </w:r>
          </w:p>
        </w:tc>
      </w:tr>
      <w:tr>
        <w:trPr/>
        <w:tc>
          <w:tcPr>
            <w:tcW w:w="2381" w:type="dxa"/>
            <w:shd w:val="clear" w:color="auto" w:fill="FFFFFF"/>
            <w:vAlign w:val="center"/>
          </w:tcPr>
          <w:p>
            <w:pPr>
              <w:jc w:val="center"/>
            </w:pPr>
            <w:r>
              <w:rPr>
                <w:sz w:val="18"/>
              </w:rPr>
              <w:t xml:space="preserve">ÇKA Sinir Ağı</w:t>
            </w:r>
          </w:p>
        </w:tc>
        <w:tc>
          <w:tcPr>
            <w:tcW w:w="102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0,8545</w:t>
            </w:r>
          </w:p>
        </w:tc>
        <w:tc>
          <w:tcPr>
            <w:tcW w:w="1701" w:type="dxa"/>
            <w:shd w:val="clear" w:color="auto" w:fill="FFFFFF"/>
            <w:vAlign w:val="center"/>
          </w:tcPr>
          <w:p>
            <w:pPr>
              <w:jc w:val="center"/>
            </w:pPr>
            <w:r>
              <w:rPr>
                <w:sz w:val="18"/>
              </w:rPr>
              <w:t xml:space="preserve">0,8189</w:t>
            </w:r>
          </w:p>
        </w:tc>
        <w:tc>
          <w:tcPr>
            <w:tcW w:w="1701" w:type="dxa"/>
            <w:shd w:val="clear" w:color="auto" w:fill="FFFFFF"/>
            <w:vAlign w:val="center"/>
          </w:tcPr>
          <w:p>
            <w:pPr>
              <w:jc w:val="center"/>
            </w:pPr>
            <w:r>
              <w:rPr>
                <w:sz w:val="18"/>
              </w:rPr>
              <w:t xml:space="preserve">0,9258</w:t>
            </w:r>
          </w:p>
        </w:tc>
      </w:tr>
      <w:tr>
        <w:trPr/>
        <w:tc>
          <w:tcPr>
            <w:tcW w:w="2381" w:type="dxa"/>
            <w:shd w:val="clear" w:color="auto" w:fill="EBF3FB"/>
            <w:vAlign w:val="center"/>
          </w:tcPr>
          <w:p>
            <w:pPr>
              <w:jc w:val="center"/>
            </w:pPr>
            <w:r>
              <w:rPr>
                <w:sz w:val="18"/>
              </w:rPr>
              <w:t xml:space="preserve">Lojistik Regresyon</w:t>
            </w:r>
          </w:p>
        </w:tc>
        <w:tc>
          <w:tcPr>
            <w:tcW w:w="102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0,7779</w:t>
            </w:r>
          </w:p>
        </w:tc>
        <w:tc>
          <w:tcPr>
            <w:tcW w:w="1701" w:type="dxa"/>
            <w:shd w:val="clear" w:color="auto" w:fill="EBF3FB"/>
            <w:vAlign w:val="center"/>
          </w:tcPr>
          <w:p>
            <w:pPr>
              <w:jc w:val="center"/>
            </w:pPr>
            <w:r>
              <w:rPr>
                <w:sz w:val="18"/>
              </w:rPr>
              <w:t xml:space="preserve">0,7390</w:t>
            </w:r>
          </w:p>
        </w:tc>
        <w:tc>
          <w:tcPr>
            <w:tcW w:w="1701" w:type="dxa"/>
            <w:shd w:val="clear" w:color="auto" w:fill="EBF3FB"/>
            <w:vAlign w:val="center"/>
          </w:tcPr>
          <w:p>
            <w:pPr>
              <w:jc w:val="center"/>
            </w:pPr>
            <w:r>
              <w:rPr>
                <w:sz w:val="18"/>
              </w:rPr>
              <w:t xml:space="preserve">0,8511</w:t>
            </w:r>
          </w:p>
        </w:tc>
      </w:tr>
      <w:tr>
        <w:trPr/>
        <w:tc>
          <w:tcPr>
            <w:tcW w:w="2381" w:type="dxa"/>
            <w:shd w:val="clear" w:color="auto" w:fill="FFFFFF"/>
            <w:vAlign w:val="center"/>
          </w:tcPr>
          <w:p>
            <w:pPr>
              <w:jc w:val="center"/>
            </w:pPr>
            <w:r>
              <w:rPr>
                <w:sz w:val="18"/>
              </w:rPr>
              <w:t xml:space="preserve">1B-ESA</w:t>
            </w:r>
          </w:p>
        </w:tc>
        <w:tc>
          <w:tcPr>
            <w:tcW w:w="102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0,7665</w:t>
            </w:r>
          </w:p>
        </w:tc>
        <w:tc>
          <w:tcPr>
            <w:tcW w:w="1701" w:type="dxa"/>
            <w:shd w:val="clear" w:color="auto" w:fill="FFFFFF"/>
            <w:vAlign w:val="center"/>
          </w:tcPr>
          <w:p>
            <w:pPr>
              <w:jc w:val="center"/>
            </w:pPr>
            <w:r>
              <w:rPr>
                <w:sz w:val="18"/>
              </w:rPr>
              <w:t xml:space="preserve">0,7159</w:t>
            </w:r>
          </w:p>
        </w:tc>
        <w:tc>
          <w:tcPr>
            <w:tcW w:w="1701" w:type="dxa"/>
            <w:shd w:val="clear" w:color="auto" w:fill="FFFFFF"/>
            <w:vAlign w:val="center"/>
          </w:tcPr>
          <w:p>
            <w:pPr>
              <w:jc w:val="center"/>
            </w:pPr>
            <w:r>
              <w:rPr>
                <w:sz w:val="18"/>
              </w:rPr>
              <w:t xml:space="preserve">0,8442</w:t>
            </w:r>
          </w:p>
        </w:tc>
      </w:tr>
    </w:tbl>
    <w:p>
      <w:pPr>
        <w:pStyle w:val="ekilYazs"/>
        <w:jc w:val="center"/>
      </w:pPr>
      <w:r>
        <w:rPr>
          <w:b/>
        </w:rPr>
        <w:t xml:space="preserve">Çizelge 4.2. Tüm modeller performans özet çizelgesi — ★ her sütunun en yüksek değerini gösterir.</w:t>
      </w:r>
    </w:p>
    <w:p>
      <w:pPr>
        <w:pStyle w:val="Balk2"/>
      </w:pPr>
      <w:r>
        <w:t xml:space="preserve">4.2. ROC Eğrileri Analizi</w:t>
      </w:r>
    </w:p>
    <w:p>
      <w:pPr>
        <w:pStyle w:val="PARAGRAFMETN"/>
      </w:pPr>
      <w:r>
        <w:t xml:space="preserve">Şekil 4.4'te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4.4.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4.6'da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4.6. LightGBM tahmin olasılık dağılımı. Kesikli çizgi: Youden-optimal eşik θ*=0,4316.</w:t>
      </w:r>
    </w:p>
    <w:p>
      <w:pPr>
        <w:pStyle w:val="Balk3"/>
      </w:pPr>
      <w:r>
        <w:t xml:space="preserve">4.4.2. Karışıklık Matrisi</w:t>
      </w:r>
    </w:p>
    <w:p>
      <w:pPr>
        <w:pStyle w:val="PARAGRAFMETN"/>
      </w:pPr>
      <w:r>
        <w:t xml:space="preserve">Şekil 4.7'de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4.7. LightGBM karışıklık matrisi (θ*=0,4316). Örnek sayısı ve sınıf yüzdesi gösterilmiştir.</w:t>
      </w:r>
    </w:p>
    <w:p>
      <w:pPr>
        <w:pStyle w:val="Balk3"/>
      </w:pPr>
      <w:r>
        <w:t xml:space="preserve">4.4.3. Kalibrasyon Analizi</w:t>
      </w:r>
    </w:p>
    <w:p>
      <w:pPr>
        <w:pStyle w:val="PARAGRAFMETN"/>
      </w:pPr>
      <w:r>
        <w:t xml:space="preserve">Şekil 4.8'de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4.8. LightGBM kalibrasyon eğrisi. Brier skoru=0,0830, N=5.195 (5 katlı CV).</w:t>
      </w:r>
    </w:p>
    <w:p>
      <w:pPr>
        <w:pStyle w:val="Balk3"/>
      </w:pPr>
      <w:r>
        <w:t xml:space="preserve">4.4.4. Kesinlik-Duyarlılık Analizi</w:t>
      </w:r>
    </w:p>
    <w:p>
      <w:pPr>
        <w:pStyle w:val="PARAGRAFMETN"/>
      </w:pPr>
      <w:r>
        <w:t xml:space="preserve">Şekil 4.9'da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4.9. LightGBM kesinlik-duyarlılık eğrisi (AP=0,9344). Kesikli: baz sınıflandırıcı (0,401).</w:t>
      </w:r>
    </w:p>
    <w:p>
      <w:pPr>
        <w:pStyle w:val="Balk2"/>
      </w:pPr>
      <w:r>
        <w:t xml:space="preserve">4.5. Öznitelik Önemi ve SHAP Analizi</w:t>
      </w:r>
    </w:p>
    <w:p>
      <w:pPr>
        <w:pStyle w:val="Balk3"/>
      </w:pPr>
      <w:r>
        <w:t xml:space="preserve">4.5.1. LightGBM Öznitelik Önemi (Kazanım)</w:t>
      </w:r>
    </w:p>
    <w:p>
      <w:pPr>
        <w:pStyle w:val="PARAGRAFMETN"/>
      </w:pPr>
      <w:r>
        <w:t xml:space="preserve">Şekil 4.10'da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4.10. LightGBM normalleştirilmiş kazanım öznitelik önemi — ilk yirmi öznitelik.</w:t>
      </w:r>
    </w:p>
    <w:p>
      <w:pPr>
        <w:pStyle w:val="Balk3"/>
      </w:pPr>
      <w:r>
        <w:t xml:space="preserve">4.5.2. SHAP Beeswarm Analizi</w:t>
      </w:r>
    </w:p>
    <w:p>
      <w:pPr>
        <w:pStyle w:val="PARAGRAFMETN"/>
      </w:pPr>
      <w:r>
        <w:t xml:space="preserve">Şekil 4.11'de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4.11. SHAP beeswarm grafiği — LightGBM (2.000 örneklik CV dilimi). Kırmızı: yüksek değer, Mavi: düşük.</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(2025) ile paralel biçimde bu bulgu, YZ sentez süreçlerinin tespit edilebilir "spektral iz" bıraktığını kanıtlamaktadır [1].</w:t>
      </w:r>
    </w:p>
    <w:p>
      <w:pPr>
        <w:pStyle w:val="Balk2"/>
      </w:pPr>
      <w:r>
        <w:t xml:space="preserve">5.4. Çapraz-Üretici Genelleme Kapasitesi</w:t>
      </w:r>
    </w:p>
    <w:p>
      <w:pPr>
        <w:pStyle w:val="PARAGRAFMETN"/>
      </w:pPr>
      <w:r>
        <w:t xml:space="preserve">AIME veri kümesi 12 farklı YZ üretim mimarisini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(2025) çapraz-üretici genellemenin alanın temel açık problemi olduğunu vurgulamakta [3];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Bu çalışmanın başlıca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rakipsiz bir konumdadır.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Gelecek Çalışma Önerileri</w:t>
      </w:r>
    </w:p>
    <w:p>
      <w:pPr>
        <w:pStyle w:val="PARAGRAFMETN"/>
      </w:pPr>
      <w:r>
        <w:t xml:space="preserve">Kısa vadeli öneriler (0–6 ay): (1) Veri kümesini 10.000+ örneğe genişletmek; (2) Yeni üreticileri (Suno v6, Stability AI, Lyria) dahil etmek; (3) Görülmemiş üreticilerden bağımsız test setiyle çapraz-üretici genellemeyi resmi olarak değerlendirmek; (4) Adversarial dayanıklılığı sistematik biçimde test etmek; (5) wav2vec2 modelini 5 katlı CV protokolüyle formal karşılaştırmalı değerlendirmeye almak.</w:t>
      </w:r>
    </w:p>
    <w:p>
      <w:pPr>
        <w:pStyle w:val="PARAGRAFMETN"/>
      </w:pPr>
      <w:r>
        <w:t xml:space="preserve">Uzun vadeli öneriler (6+ ay): (1) iOS uygulaması geliştirmek; (2) Tür-tabakalı değerlendirme ile tür bağımlı performansı sistematik olarak incelemek; (3) Çok kipli analiz (ses + şarkı sözleri + meta veri) entegrasyonu; (4) Gerçek zamanlı akış için çevrimiçi öznitelik çıkarma hattı geliştirmek; (5) Federe öğrenme ile sürekli model güncelleme ve yeni üreticilere adaptasyon sağlamak.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Afchar, D., Meseguer Brocal, G. ve Hennequin, R. (2025). AI-Generated Music Detection and Its Challenges. Proceedings of IEEE ICASSP 2025. https://doi.org/10.48550/arXiv.2501.10111</w:t>
      </w:r>
    </w:p>
    <w:p>
      <w:pPr>
        <w:pStyle w:val="Normal"/>
      </w:pPr>
      <w:r>
        <w:t xml:space="preserve">[2]	Baevski, A., Zhou, Y., Mohamed, A. ve Auli, M. (2020). wav2vec 2.0: A Framework for Self-Supervised Learning of Speech Representations. Advances in Neural Information Processing Systems, 33, 12449-12460.</w:t>
      </w:r>
    </w:p>
    <w:p>
      <w:pPr>
        <w:pStyle w:val="Normal"/>
      </w:pPr>
      <w:r>
        <w:t xml:space="preserve">[3]	Bhatt, A., Rajan, A. ve diğerleri. (2025). AI-Generated Music Detection: A Survey of Methods and Datasets. arXiv preprint. https://doi.org/10.48550/arXiv.2501.10111</w:t>
      </w:r>
    </w:p>
    <w:p>
      <w:pPr>
        <w:pStyle w:val="Normal"/>
      </w:pPr>
      <w:r>
        <w:t xml:space="preserve">[4]	Chen, T. ve Guestrin, C. (2016). XGBoost: A Scalable Tree Boosting System. Proc. 22nd ACM SIGKDD, s. 785-794.</w:t>
      </w:r>
    </w:p>
    <w:p>
      <w:pPr>
        <w:pStyle w:val="Normal"/>
      </w:pPr>
      <w:r>
        <w:t xml:space="preserve">[5]	Copet, J., Kreuk, F., Gat, I., Remez, T., Kant, D., Synnaeve, G., Adi, Y. ve Défossez, A. (2023). Simple and Controllable Music Generation. Advances in NeurIPS, 36, 47704-47720.</w:t>
      </w:r>
    </w:p>
    <w:p>
      <w:pPr>
        <w:pStyle w:val="Normal"/>
      </w:pPr>
      <w:r>
        <w:t xml:space="preserve">[6]	Dhariwal, P., Jun, H., Payne, C., Kim, J. W., Radford, A. ve Sutskever, I. (2020). Jukebox: A Generative Model for Music. arXiv preprint arXiv:2005.00341.</w:t>
      </w:r>
    </w:p>
    <w:p>
      <w:pPr>
        <w:pStyle w:val="Normal"/>
      </w:pPr>
      <w:r>
        <w:t xml:space="preserve">[7]	Elizalde, B., Deshmukh, S., Al Ismail, M. ve Wang, H. (2023). CLAP: Learning Audio Concepts from Natural Language Supervision. Proc. ICASSP 2023, s. 1-5. IEEE.</w:t>
      </w:r>
    </w:p>
    <w:p>
      <w:pPr>
        <w:pStyle w:val="Normal"/>
      </w:pPr>
      <w:r>
        <w:t xml:space="preserve">[8]	Frank, J. ve Schönherr, L. (2021). WaveFake: A Data Set to Facilitate Audio Deepfake Detection. NeurIPS 2021 Datasets and Benchmarks Track.</w:t>
      </w:r>
    </w:p>
    <w:p>
      <w:pPr>
        <w:pStyle w:val="Normal"/>
      </w:pPr>
      <w:r>
        <w:t xml:space="preserve">[9]	Gan, R., Huang, T., Shao, J. ve Wang, F. (2024). Music Genre Classification Based on VMD-IWOA-XGBoost. Mathematics, 12(10), 1549. https://doi.org/10.3390/math12101549</w:t>
      </w:r>
    </w:p>
    <w:p>
      <w:pPr>
        <w:pStyle w:val="Normal"/>
      </w:pPr>
      <w:r>
        <w:t xml:space="preserve">[10]	Gourisaria, M. K., Agrawal, R. ve Sahni, M. (2024). Comparative Analysis of Audio Classification with MFCC and STFT Features Using Machine Learning Techniques. Discover Internet of Things, 4.</w:t>
      </w:r>
    </w:p>
    <w:p>
      <w:pPr>
        <w:pStyle w:val="Normal"/>
      </w:pPr>
      <w:r>
        <w:t xml:space="preserve">[11]	Ke, G., Meng, Q., Finley, T., Wang, T., Chen, W., Ma, W., Ye, Q. ve Liu, T. (2017). LightGBM: A Highly Efficient Gradient Boosting Decision Tree. Advances in NeurIPS, 30.</w:t>
      </w:r>
    </w:p>
    <w:p>
      <w:pPr>
        <w:pStyle w:val="Normal"/>
      </w:pPr>
      <w:r>
        <w:t xml:space="preserve">[12]	Kosta, K., Meseguer Brocal, G., Afchar, D. ve Hennequin, R. (2025). Segment Transformer: AI-Generated Music Detection via Music Structural Analysis. arXiv:2509.08283.</w:t>
      </w:r>
    </w:p>
    <w:p>
      <w:pPr>
        <w:pStyle w:val="Normal"/>
      </w:pPr>
      <w:r>
        <w:t xml:space="preserve">[13]	Kostrzewa, D., Mazur, W. ve Brzeski, R. (2022). Wide Ensembles of Neural Networks in Music Genre Classification. Proc. MISSI 2022, s. 91-102. Springer.</w:t>
      </w:r>
    </w:p>
    <w:p>
      <w:pPr>
        <w:pStyle w:val="Normal"/>
      </w:pPr>
      <w:r>
        <w:t xml:space="preserve">[14]	Liu, H., Chen, Z., Yuan, Y., Mei, X., Liu, X., Mandic, D., Wang, W. ve Plumbley, M. D. (2023). AudioLDM: Text-to-Audio Generation with Latent Diffusion Models. Proc. ICML 2023.</w:t>
      </w:r>
    </w:p>
    <w:p>
      <w:pPr>
        <w:pStyle w:val="Normal"/>
      </w:pPr>
      <w:r>
        <w:t xml:space="preserve">[15]	Liu, Y. ve diğerleri. (2024). From Audio Deepfake Detection to AI-Generated Music Detection: A Pathway and Overview. arXiv:2412.00571.</w:t>
      </w:r>
    </w:p>
    <w:p>
      <w:pPr>
        <w:pStyle w:val="Normal"/>
      </w:pPr>
      <w:r>
        <w:t xml:space="preserve">[16]	Liu, Y., Yin, Y., Zhu, Q. ve Cui, W. (2022). Musical Instrument Recognition by XGBoost Combining Feature Fusion. arXiv:2206.00901.</w:t>
      </w:r>
    </w:p>
    <w:p>
      <w:pPr>
        <w:pStyle w:val="Normal"/>
      </w:pPr>
      <w:r>
        <w:t xml:space="preserve">[17]	Lundberg, S. M. ve Lee, S. I. (2017). A Unified Approach to Interpreting Model Predictions. Advances in NeurIPS, 30.</w:t>
      </w:r>
    </w:p>
    <w:p>
      <w:pPr>
        <w:pStyle w:val="Normal"/>
      </w:pPr>
      <w:r>
        <w:t xml:space="preserve">[18]	Martín-Doñas, J. M. ve Álvarez, A. (2022). The Vicomtech Audio Deepfake Detection System Based on Wav2vec2 for the 2022 ADD Challenge. Proc. ICASSP 2022, s. 9266-9270. IEEE.</w:t>
      </w:r>
    </w:p>
    <w:p>
      <w:pPr>
        <w:pStyle w:val="Normal"/>
      </w:pPr>
      <w:r>
        <w:t xml:space="preserve">[19]	McFee, B., Raffel, C., Liang, D., Ellis, D. P. W., McVicar, M., Battenberg, E. ve Nieto, O. (2015). librosa: Audio and Music Signal Analysis in Python. Proc. 14th Python in Science Conf., s. 18-25.</w:t>
      </w:r>
    </w:p>
    <w:p>
      <w:pPr>
        <w:pStyle w:val="Normal"/>
      </w:pPr>
      <w:r>
        <w:t xml:space="preserve">[20]	Paszke, A. ve diğerleri. (2019). PyTorch: An Imperative Style, High-Performance Deep Learning Library. Advances in NeurIPS, 32.</w:t>
      </w:r>
    </w:p>
    <w:p>
      <w:pPr>
        <w:pStyle w:val="Normal"/>
      </w:pPr>
      <w:r>
        <w:t xml:space="preserve">[21]	Pedregosa, F. ve diğerleri. (2011). Scikit-learn: Machine Learning in Python. Journal of Machine Learning Research, 12, 2825-2830.</w:t>
      </w:r>
    </w:p>
    <w:p>
      <w:pPr>
        <w:pStyle w:val="Normal"/>
      </w:pPr>
      <w:r>
        <w:t xml:space="preserve">[22]	Wu, Y., Chen, K., Zhang, T., Hui, Y., Berg-Kirkpatrick, T. ve Dubnov, S. (2023). Large-Scale Contrastive Language-Audio Pretraining with Feature Fusion. Proc. ICASSP 2023. IEEE.</w:t>
      </w:r>
    </w:p>
    <w:p>
      <w:pPr>
        <w:pStyle w:val="Normal"/>
      </w:pPr>
      <w:r>
        <w:t xml:space="preserve">[23]	Yi, J., Fu, R., Tao, J., Nie, S., Ma, H., Wang, C. ve diğerleri. (2022). ADD 2022: The First Audio Deep Synthesis Detection Challenge. Proc. ICASSP 2022, s. 9216-9220. IEEE.</w:t>
      </w:r>
    </w:p>
    <w:p>
      <w:pPr>
        <w:pStyle w:val="Normal"/>
      </w:pPr>
      <w:r>
        <w:t xml:space="preserve">[24]	Yi, J., Wang, C., Tao, J., Zhang, X., Zhang, C. Y. ve Zhao, Y. (2023). Audio Deepfake Detection: A Survey. arXiv:2308.14970.</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olarak gönderilmiştir.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