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temel sorudan dört alt araştırma sorusu türetilmiştir: (AS-1) El ile tasarlanmış akustik öznitelikler, YZ müziğini insan müziğinden ayırt etmek için yeterli ayrımcı güç sağlayabilir mi? (AS-2) Farklı makine öğrenmesi ve derin öğrenme modelleri arasında performans açısından hangi aile öne çıkmaktadır? (AS-3) Hangi akustik öznitelikler YZ müziğinin tespitinde en belirleyici rol oynamaktadır? (AS-4) Geliştirilen sistem, gerçek zamanlı kullanım koşullarında web, Android ve API platformlarında etkin biçimde çalışabilir mi?</w:t>
      </w:r>
    </w:p>
    <w:p>
      <w:pPr>
        <w:pStyle w:val="PARAGRAFMETN"/>
      </w:pPr>
      <w:r>
        <w:t xml:space="preserve">Bu sorulardan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[7] tarafından derlenen WaveFake'tir;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~%91</w:t>
            </w:r>
          </w:p>
        </w:tc>
      </w:tr>
      <w:tr>
        <w:trPr/>
        <w:tc>
          <w:tcPr>
            <w:tcW w:w="2154" w:type="dxa"/>
            <w:shd w:val="clear" w:color="auto" w:fill="EBF3FB"/>
            <w:vAlign w:val="center"/>
          </w:tcPr>
          <w:p>
            <w:pPr>
              <w:jc w:val="center"/>
            </w:pPr>
            <w:r>
              <w:rPr>
                <w:sz w:val="18"/>
              </w:rPr>
              <w:t xml:space="preserve">Afchar vd. [1]</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Kısmi</w:t>
            </w:r>
          </w:p>
        </w:tc>
        <w:tc>
          <w:tcPr>
            <w:tcW w:w="1360" w:type="dxa"/>
            <w:shd w:val="clear" w:color="auto" w:fill="EBF3FB"/>
            <w:vAlign w:val="center"/>
          </w:tcPr>
          <w:p>
            <w:pPr>
              <w:jc w:val="center"/>
            </w:pPr>
            <w:r>
              <w:rPr>
                <w:sz w:val="18"/>
              </w:rPr>
              <w:t xml:space="preserve">Hayır</w:t>
            </w:r>
          </w:p>
        </w:tc>
        <w:tc>
          <w:tcPr>
            <w:tcW w:w="1190" w:type="dxa"/>
            <w:shd w:val="clear" w:color="auto" w:fill="EBF3FB"/>
            <w:vAlign w:val="center"/>
          </w:tcPr>
          <w:p>
            <w:pPr>
              <w:jc w:val="center"/>
            </w:pPr>
            <w:r>
              <w:rPr>
                <w:sz w:val="18"/>
              </w:rPr>
              <w:t xml:space="preserve">%86–91</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%88,4</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her model için uygulanan karar eşiği ve buna karşılık gelen Kesinlik ile Duyarlılık değerleri sunulmaktadır. Yedi MO modelinden yalnızca LightGBM için Youden J istatistiğiyle θ*=0,4316 belirlenmiştir; diğer modeller varsayılan 0,50 eşiğiyle çalışmaktadır. DÖ modellerinin Kesinlik/Duyarlılık değerleri 5 katlı CV çıktılarından hesaplanmıştır.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701"/>
        <w:gridCol w:w="1304"/>
        <w:gridCol w:w="1417"/>
        <w:gridCol w:w="136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Karar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36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 ★</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0,4316 (Youden)</w:t>
            </w:r>
          </w:p>
        </w:tc>
        <w:tc>
          <w:tcPr>
            <w:tcW w:w="1304" w:type="dxa"/>
            <w:shd w:val="clear" w:color="auto" w:fill="FFFFFF"/>
            <w:vAlign w:val="center"/>
          </w:tcPr>
          <w:p>
            <w:pPr>
              <w:jc w:val="center"/>
            </w:pPr>
            <w:r>
              <w:rPr>
                <w:sz w:val="18"/>
              </w:rPr>
              <w:t xml:space="preserve">0,844</w:t>
            </w:r>
          </w:p>
        </w:tc>
        <w:tc>
          <w:tcPr>
            <w:tcW w:w="1417" w:type="dxa"/>
            <w:shd w:val="clear" w:color="auto" w:fill="FFFFFF"/>
            <w:vAlign w:val="center"/>
          </w:tcPr>
          <w:p>
            <w:pPr>
              <w:jc w:val="center"/>
            </w:pPr>
            <w:r>
              <w:rPr>
                <w:sz w:val="18"/>
              </w:rPr>
              <w:t xml:space="preserve">0,871</w:t>
            </w:r>
          </w:p>
        </w:tc>
        <w:tc>
          <w:tcPr>
            <w:tcW w:w="1360"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0,860</w:t>
            </w:r>
          </w:p>
        </w:tc>
        <w:tc>
          <w:tcPr>
            <w:tcW w:w="1417" w:type="dxa"/>
            <w:shd w:val="clear" w:color="auto" w:fill="EBF3FB"/>
            <w:vAlign w:val="center"/>
          </w:tcPr>
          <w:p>
            <w:pPr>
              <w:jc w:val="center"/>
            </w:pPr>
            <w:r>
              <w:rPr>
                <w:sz w:val="18"/>
              </w:rPr>
              <w:t xml:space="preserve">0,860</w:t>
            </w:r>
          </w:p>
        </w:tc>
        <w:tc>
          <w:tcPr>
            <w:tcW w:w="136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0,851</w:t>
            </w:r>
          </w:p>
        </w:tc>
        <w:tc>
          <w:tcPr>
            <w:tcW w:w="1417" w:type="dxa"/>
            <w:shd w:val="clear" w:color="auto" w:fill="FFFFFF"/>
            <w:vAlign w:val="center"/>
          </w:tcPr>
          <w:p>
            <w:pPr>
              <w:jc w:val="center"/>
            </w:pPr>
            <w:r>
              <w:rPr>
                <w:sz w:val="18"/>
              </w:rPr>
              <w:t xml:space="preserve">0,830</w:t>
            </w:r>
          </w:p>
        </w:tc>
        <w:tc>
          <w:tcPr>
            <w:tcW w:w="136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0,851</w:t>
            </w:r>
          </w:p>
        </w:tc>
        <w:tc>
          <w:tcPr>
            <w:tcW w:w="1417" w:type="dxa"/>
            <w:shd w:val="clear" w:color="auto" w:fill="EBF3FB"/>
            <w:vAlign w:val="center"/>
          </w:tcPr>
          <w:p>
            <w:pPr>
              <w:jc w:val="center"/>
            </w:pPr>
            <w:r>
              <w:rPr>
                <w:sz w:val="18"/>
              </w:rPr>
              <w:t xml:space="preserve">0,849</w:t>
            </w:r>
          </w:p>
        </w:tc>
        <w:tc>
          <w:tcPr>
            <w:tcW w:w="136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0,845</w:t>
            </w:r>
          </w:p>
        </w:tc>
        <w:tc>
          <w:tcPr>
            <w:tcW w:w="1417" w:type="dxa"/>
            <w:shd w:val="clear" w:color="auto" w:fill="FFFFFF"/>
            <w:vAlign w:val="center"/>
          </w:tcPr>
          <w:p>
            <w:pPr>
              <w:jc w:val="center"/>
            </w:pPr>
            <w:r>
              <w:rPr>
                <w:sz w:val="18"/>
              </w:rPr>
              <w:t xml:space="preserve">0,822</w:t>
            </w:r>
          </w:p>
        </w:tc>
        <w:tc>
          <w:tcPr>
            <w:tcW w:w="136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0,855</w:t>
            </w:r>
          </w:p>
        </w:tc>
        <w:tc>
          <w:tcPr>
            <w:tcW w:w="1417" w:type="dxa"/>
            <w:shd w:val="clear" w:color="auto" w:fill="EBF3FB"/>
            <w:vAlign w:val="center"/>
          </w:tcPr>
          <w:p>
            <w:pPr>
              <w:jc w:val="center"/>
            </w:pPr>
            <w:r>
              <w:rPr>
                <w:sz w:val="18"/>
              </w:rPr>
              <w:t xml:space="preserve">0,784</w:t>
            </w:r>
          </w:p>
        </w:tc>
        <w:tc>
          <w:tcPr>
            <w:tcW w:w="136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0,831</w:t>
            </w:r>
          </w:p>
        </w:tc>
        <w:tc>
          <w:tcPr>
            <w:tcW w:w="1417" w:type="dxa"/>
            <w:shd w:val="clear" w:color="auto" w:fill="FFFFFF"/>
            <w:vAlign w:val="center"/>
          </w:tcPr>
          <w:p>
            <w:pPr>
              <w:jc w:val="center"/>
            </w:pPr>
            <w:r>
              <w:rPr>
                <w:sz w:val="18"/>
              </w:rPr>
              <w:t xml:space="preserve">0,830</w:t>
            </w:r>
          </w:p>
        </w:tc>
        <w:tc>
          <w:tcPr>
            <w:tcW w:w="136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0,833</w:t>
            </w:r>
          </w:p>
        </w:tc>
        <w:tc>
          <w:tcPr>
            <w:tcW w:w="1417" w:type="dxa"/>
            <w:shd w:val="clear" w:color="auto" w:fill="EBF3FB"/>
            <w:vAlign w:val="center"/>
          </w:tcPr>
          <w:p>
            <w:pPr>
              <w:jc w:val="center"/>
            </w:pPr>
            <w:r>
              <w:rPr>
                <w:sz w:val="18"/>
              </w:rPr>
              <w:t xml:space="preserve">0,818</w:t>
            </w:r>
          </w:p>
        </w:tc>
        <w:tc>
          <w:tcPr>
            <w:tcW w:w="136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0,821</w:t>
            </w:r>
          </w:p>
        </w:tc>
        <w:tc>
          <w:tcPr>
            <w:tcW w:w="136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0,698</w:t>
            </w:r>
          </w:p>
        </w:tc>
        <w:tc>
          <w:tcPr>
            <w:tcW w:w="1417" w:type="dxa"/>
            <w:shd w:val="clear" w:color="auto" w:fill="EBF3FB"/>
            <w:vAlign w:val="center"/>
          </w:tcPr>
          <w:p>
            <w:pPr>
              <w:jc w:val="center"/>
            </w:pPr>
            <w:r>
              <w:rPr>
                <w:sz w:val="18"/>
              </w:rPr>
              <w:t xml:space="preserve">0,785</w:t>
            </w:r>
          </w:p>
        </w:tc>
        <w:tc>
          <w:tcPr>
            <w:tcW w:w="136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0,726</w:t>
            </w:r>
          </w:p>
        </w:tc>
        <w:tc>
          <w:tcPr>
            <w:tcW w:w="1417" w:type="dxa"/>
            <w:shd w:val="clear" w:color="auto" w:fill="FFFFFF"/>
            <w:vAlign w:val="center"/>
          </w:tcPr>
          <w:p>
            <w:pPr>
              <w:jc w:val="center"/>
            </w:pPr>
            <w:r>
              <w:rPr>
                <w:sz w:val="18"/>
              </w:rPr>
              <w:t xml:space="preserve">0,687</w:t>
            </w:r>
          </w:p>
        </w:tc>
        <w:tc>
          <w:tcPr>
            <w:tcW w:w="1360" w:type="dxa"/>
            <w:shd w:val="clear" w:color="auto" w:fill="FFFFFF"/>
            <w:vAlign w:val="center"/>
          </w:tcPr>
          <w:p>
            <w:pPr>
              <w:jc w:val="center"/>
            </w:pPr>
            <w:r>
              <w:rPr>
                <w:sz w:val="18"/>
              </w:rPr>
              <w:t xml:space="preserve">0,8442</w:t>
            </w:r>
          </w:p>
        </w:tc>
      </w:tr>
    </w:tbl>
    <w:p>
      <w:pPr>
        <w:pStyle w:val="ekilYazs"/>
        <w:jc w:val="center"/>
      </w:pPr>
      <w:r>
        <w:rPr>
          <w:b/>
        </w:rPr>
        <w:t xml:space="preserve">Çizelge 4.2. Model karar eşikleri ve Kesinlik/Duyarlılık değerleri. ★ = Youden-optimal eşik uygulanmış tek MO model.</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LightGBM için Brier skoru 0,083 olarak hesaplanmıştır;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sunulmaktadır. Ortalama kesinlik (AP) 0,9344 olarak ölçülmüştür; yüksek duyarlılık (≥0,90) değerlerinde kesinlik 0,85'in üzerinde kalmaktadır.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Baz sınıflandırıcı düzeyi (AP≈0,401) veri kümesindeki YZ oranına eşittir.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öznitelik arasında 3 ile temsil edilmektedir.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değerlerinde (kırmızı) güçlü pozitif SHAP etkisi; düşük değerlerinde (mavi) ise negatif SHAP etkisi gözlemlenmektedir.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elde edilen gözlemler şöyle sıralanabilir: spectral_flatness_std ve spectral_contrast_mean pozitif SHAP bölgesinde (YZ yönünde) yoğunlaşmaktadır; rms_energy ve rms_dynamic_range yüksek değerlerinde (kırmızı) pozitif SHAP bölgesine kümelenmektedir; onset_strength_std düşük değerlerinde (mavi) negatif SHAP bölgesinde — İnsan yönünde — birikmektedir.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 (YZ, n≈492) LightGBM tarafından 0,500 doğrulukla sınıflandırılmıştır; bu değer rastgele tahmin düzeyine karşılık gelmektedir. Bu kaynağa ait kayıp eğrileri ve bireysel öznitelik dağılımları Ek-2'de sunulmaktadır. Kaynak bazlı bulgular Bölüm 5.5'te yorumlanmaktadır.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[1] ile paralel biçimde bu bulgu, YZ sentez süreçlerinin tespit edilebilir "spektral iz" bıraktığını kanıtlamaktadır.</w:t>
      </w:r>
    </w:p>
    <w:p>
      <w:pPr>
        <w:pStyle w:val="Balk2"/>
      </w:pPr>
      <w:r>
        <w:t xml:space="preserve">5.4. Çapraz-Üretici Genelleme Kapasitesi</w:t>
      </w:r>
    </w:p>
    <w:p>
      <w:pPr>
        <w:pStyle w:val="PARAGRAFMETN"/>
      </w:pPr>
      <w:r>
        <w:t xml:space="preserve">AIME veri kümesi 12 farklı YZ üretim platformu ve sürümünü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vurgulamaktadır;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5 katlı çapraz doğrulamada elde ettiği ROC-AUC değeriyle orantılıdır; bu yaklaşım yüksek performanslı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öz-denetimli ses gösterim modelinin öğrenilmiş gömme vektörleri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arXiv:2509.08283, 2025.</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hasanarthuraltuntas.xyz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