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rsidRPr="003F0EC8">
        <w:rPr>
          <w:sz w:val="24"/>
          <w:szCs w:val="24"/>
        </w:rP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makine öğrenmesi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θ*=0,4316 olarak optimize edilmiştir. Sistem Next.js 14 web platformu, Kotlin/Jetpack Compose Android uygulaması ve FastAPI arka ucuyla tam yığın mimaride sunulmuştur. SHAP entegrasyonu her kararı öznitelik bazında açıklanabilir kılmaktadır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rsidRPr="003F0EC8">
        <w:rPr>
          <w:sz w:val="24"/>
          <w:szCs w:val="24"/>
          <w:lang w:val="en-US"/>
        </w:rP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θ*=0.4316 via Youden's J statistic. SHAP provides feature-level explanations for every decision. The complete system is deployed as a web application on Hugging Face Spaces.</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JEN-1 ve Echoes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(2024) bu sorunun müzik tespitinin önündeki en büyük engel olduğunu vurgularken, Bhatt vd. (2025) çapraz-üretici genellemenin alanın açık problemi olmaya devam ettiğini ortaya koymuştur [2],[3].</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Sorusu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(2020)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(Copet vd., 2023)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(Liu vd., 2023)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[7]; HiFi-GAN, MelGAN, WaveGlow ve benzeri yedi farklı vocoder mimarisinin çıktısını içermektedir.</w:t>
      </w:r>
    </w:p>
    <w:p>
      <w:pPr>
        <w:pStyle w:val="PARAGRAFMETN"/>
      </w:pPr>
      <w:r>
        <w:t xml:space="preserve">Ses derin sahteciliği tespiti alanında düzenlenen ilk uluslararası yarışma olan ADD 2022 (Yi vd., 2022) [8], üç farklı zorluk seviyesinde birleşik değerlendirme sağlamıştır. Martín-Doñas ve Álvarez (2022) [9], yarışmada wav2vec2-base modelini doğrudan uygulayarak öznitelik mühendisliği gerektirmeden rekabetçi sonuçlar elde etmiştir; bu çalışma BM401 döneminin başlangıç ilham kaynağını oluşturmuştur. Afchar vd. (2025)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(2024) [3] bu geçiş sürecini sistematik biçimde ele almış; mevcut çalışmaların büyük bölümünün tek üreticiye özgü koşullarda başarılı olduğunu, yeni ve görülmemiş sistemlere genelleme yapamadığını ortaya koymuştur. Kosta vd. (2025)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(Baevski vd., 2020)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(Elizalde vd., 2023) [12], ses ve metin çiftleri üzerinde karşıtsal öğrenme yürüterek ortak bir gömme uzayı oluşturmaktadır. LAION-CLAP (Wu vd., 2023)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(2024)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(2022) [15], geniş sinir ağı topluluklarının müzik türü sınıflandırmasında tek modele kıyasla önemli kazanım sağladığını ortaya koymuştur. Gan vd. (2024) [16], VMD tabanlı öznitelik ayrıştırmasıyla desteklenen XGBoost topluluk modelinin GTZAN veri kümesinde rekabetçi doğruluk elde ettiğini bildirmiştir. Liu vd. (2022)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WaveFake Detector [7]</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Kısmi</w:t>
            </w:r>
          </w:p>
        </w:tc>
        <w:tc>
          <w:tcPr>
            <w:tcW w:w="1190" w:type="dxa"/>
            <w:shd w:val="clear" w:color="auto" w:fill="EBF3FB"/>
            <w:vAlign w:val="center"/>
          </w:tcPr>
          <w:p>
            <w:pPr>
              <w:jc w:val="center"/>
            </w:pPr>
            <w:r>
              <w:rPr>
                <w:sz w:val="18"/>
              </w:rPr>
              <w:t xml:space="preserve">&gt;0.99 (konuşma)</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üç ana HuggingFace veri kümesi kullanılmıştır: SleepyJesse/ai_music_large on iki farklı üretim sistemini kapsayan yaklaşık 2.000 parçayı, disco-eth/AIME Suno v3/v4/v5, Udio, MusicGen, AudioLDM2 ve diğerlerini içeren yaklaşık 1.000 parçayı, zuhri025/suno-audio ise yalnızca Suno modelinden yaklaşık 500 parçayı kapsamaktadır.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Ek YZ kaynaklar</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~500</w:t>
            </w:r>
          </w:p>
        </w:tc>
        <w:tc>
          <w:tcPr>
            <w:tcW w:w="2835" w:type="dxa"/>
            <w:shd w:val="clear" w:color="auto" w:fill="EBF3FB"/>
            <w:vAlign w:val="center"/>
          </w:tcPr>
          <w:p>
            <w:pPr>
              <w:jc w:val="center"/>
            </w:pPr>
            <w:r>
              <w:rPr>
                <w:sz w:val="18"/>
              </w:rPr>
              <w:t xml:space="preserve">Çeşitli</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Zamansal ve ritmik öznitelikler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Vokal öznitelikler, vocal_analyzer.py içindeki VocalFeatures sınıfı aracılığıyla hesaplanmaktadır. Bu sınıf önce librosa'nın harmonik-perküsif ses ayrıştırması (HPSS) ile vokal bileşeni izole etmekte; ardından perde (pitch), vibrato hızı ve genişliği, formant tutarlılığı ve nefes örüntüsü analizini sırasıyla uygulamaktadır. YZ sistemleri insan sesini taklit etmekle birlikte vibrato düzenliliği ve formant geçiş örüntülerinde tutarsızlıklar sergileme eğilimindedir; bu öznitelikler bu farkı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9</w:t>
            </w:r>
          </w:p>
        </w:tc>
        <w:tc>
          <w:tcPr>
            <w:tcW w:w="4536" w:type="dxa"/>
            <w:shd w:val="clear" w:color="auto" w:fill="FFFFFF"/>
            <w:vAlign w:val="center"/>
          </w:tcPr>
          <w:p>
            <w:pPr>
              <w:jc w:val="center"/>
            </w:pPr>
            <w:r>
              <w:rPr>
                <w:sz w:val="18"/>
              </w:rPr>
              <w:t xml:space="preserve">onset_strength_mean, onset_strength_std, beat_count, ibi_stability</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8</w:t>
            </w:r>
          </w:p>
        </w:tc>
        <w:tc>
          <w:tcPr>
            <w:tcW w:w="4536" w:type="dxa"/>
            <w:shd w:val="clear" w:color="auto" w:fill="EBF3FB"/>
            <w:vAlign w:val="center"/>
          </w:tcPr>
          <w:p>
            <w:pPr>
              <w:jc w:val="center"/>
            </w:pPr>
            <w:r>
              <w:rPr>
                <w:sz w:val="18"/>
              </w:rPr>
              <w:t xml:space="preserve">chroma_entropy, chroma_std, tonnetz_std, harmonic_ratio</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4</w:t>
            </w:r>
          </w:p>
        </w:tc>
        <w:tc>
          <w:tcPr>
            <w:tcW w:w="4536" w:type="dxa"/>
            <w:shd w:val="clear" w:color="auto" w:fill="FFFFFF"/>
            <w:vAlign w:val="center"/>
          </w:tcPr>
          <w:p>
            <w:pPr>
              <w:jc w:val="center"/>
            </w:pPr>
            <w:r>
              <w:rPr>
                <w:sz w:val="18"/>
              </w:rPr>
              <w:t xml:space="preserve">pitch_stability_score, vibrato_regularity, formant_consistency</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3.3.2.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(Chen ve Guestrin, 2016) [20], n_estimators=240, max_depth=5, learning_rate=0,06, subsample=0,85, colsample_bytree=0,8, scale_pos_weight=1,5 ve eval_metric=auc parametreleriyle yapılandırılmıştır. LightGBM (Ke vd., 2017)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Lundberg ve Lee, 2017)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[22]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tüm 11 modelin Doğruluk, F1 Skoru ve ROC-AUC değerleri tek tabloda bir arada sunulmaktadır. Her sütundaki en yüksek değer kalın ile gösterilmiştir; LightGBM ROC-AUC'ta, Derin ÇKA ise Doğruluk ve F1 Skorunda öne çıkmaktadır.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81"/>
        <w:gridCol w:w="1020"/>
        <w:gridCol w:w="1701"/>
        <w:gridCol w:w="1701"/>
        <w:gridCol w:w="1701"/>
      </w:tblGrid>
      <w:tr>
        <w:trPr>
          <w:tblHeader/>
        </w:trPr>
        <w:tc>
          <w:tcPr>
            <w:tcW w:w="2381" w:type="dxa"/>
            <w:shd w:val="clear" w:color="auto" w:fill="1F3864"/>
            <w:vAlign w:val="center"/>
          </w:tcPr>
          <w:p>
            <w:pPr>
              <w:jc w:val="center"/>
            </w:pPr>
            <w:r>
              <w:rPr>
                <w:b/>
                <w:color w:val="FFFFFF"/>
                <w:sz w:val="18"/>
              </w:rPr>
              <w:t xml:space="preserve">Model</w:t>
            </w:r>
          </w:p>
        </w:tc>
        <w:tc>
          <w:tcPr>
            <w:tcW w:w="1020"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Doğruluk</w:t>
            </w:r>
          </w:p>
        </w:tc>
        <w:tc>
          <w:tcPr>
            <w:tcW w:w="1701" w:type="dxa"/>
            <w:shd w:val="clear" w:color="auto" w:fill="1F3864"/>
            <w:vAlign w:val="center"/>
          </w:tcPr>
          <w:p>
            <w:pPr>
              <w:jc w:val="center"/>
            </w:pPr>
            <w:r>
              <w:rPr>
                <w:b/>
                <w:color w:val="FFFFFF"/>
                <w:sz w:val="18"/>
              </w:rPr>
              <w:t xml:space="preserve">F1 Skoru</w:t>
            </w:r>
          </w:p>
        </w:tc>
        <w:tc>
          <w:tcPr>
            <w:tcW w:w="1701" w:type="dxa"/>
            <w:shd w:val="clear" w:color="auto" w:fill="1F3864"/>
            <w:vAlign w:val="center"/>
          </w:tcPr>
          <w:p>
            <w:pPr>
              <w:jc w:val="center"/>
            </w:pPr>
            <w:r>
              <w:rPr>
                <w:b/>
                <w:color w:val="FFFFFF"/>
                <w:sz w:val="18"/>
              </w:rPr>
              <w:t xml:space="preserve">ROC-AUC</w:t>
            </w:r>
          </w:p>
        </w:tc>
      </w:tr>
      <w:tr>
        <w:trPr/>
        <w:tc>
          <w:tcPr>
            <w:tcW w:w="2381" w:type="dxa"/>
            <w:shd w:val="clear" w:color="auto" w:fill="FFFFFF"/>
            <w:vAlign w:val="center"/>
          </w:tcPr>
          <w:p>
            <w:pPr>
              <w:jc w:val="center"/>
            </w:pPr>
            <w:r>
              <w:rPr>
                <w:sz w:val="18"/>
              </w:rPr>
              <w:t xml:space="preserve">Derin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0,8849 ★</w:t>
            </w:r>
          </w:p>
        </w:tc>
        <w:tc>
          <w:tcPr>
            <w:tcW w:w="1701" w:type="dxa"/>
            <w:shd w:val="clear" w:color="auto" w:fill="FFFFFF"/>
            <w:vAlign w:val="center"/>
          </w:tcPr>
          <w:p>
            <w:pPr>
              <w:jc w:val="center"/>
            </w:pPr>
            <w:r>
              <w:rPr>
                <w:sz w:val="18"/>
              </w:rPr>
              <w:t xml:space="preserve">0,8596 ★</w:t>
            </w:r>
          </w:p>
        </w:tc>
        <w:tc>
          <w:tcPr>
            <w:tcW w:w="1701" w:type="dxa"/>
            <w:shd w:val="clear" w:color="auto" w:fill="FFFFFF"/>
            <w:vAlign w:val="center"/>
          </w:tcPr>
          <w:p>
            <w:pPr>
              <w:jc w:val="center"/>
            </w:pPr>
            <w:r>
              <w:rPr>
                <w:sz w:val="18"/>
              </w:rPr>
              <w:t xml:space="preserve">0,9537</w:t>
            </w:r>
          </w:p>
        </w:tc>
      </w:tr>
      <w:tr>
        <w:trPr/>
        <w:tc>
          <w:tcPr>
            <w:tcW w:w="2381" w:type="dxa"/>
            <w:shd w:val="clear" w:color="auto" w:fill="EBF3FB"/>
            <w:vAlign w:val="center"/>
          </w:tcPr>
          <w:p>
            <w:pPr>
              <w:jc w:val="center"/>
            </w:pPr>
            <w:r>
              <w:rPr>
                <w:sz w:val="18"/>
              </w:rPr>
              <w:t xml:space="preserve">LightGBM</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0,8839</w:t>
            </w:r>
          </w:p>
        </w:tc>
        <w:tc>
          <w:tcPr>
            <w:tcW w:w="1701" w:type="dxa"/>
            <w:shd w:val="clear" w:color="auto" w:fill="EBF3FB"/>
            <w:vAlign w:val="center"/>
          </w:tcPr>
          <w:p>
            <w:pPr>
              <w:jc w:val="center"/>
            </w:pPr>
            <w:r>
              <w:rPr>
                <w:sz w:val="18"/>
              </w:rPr>
              <w:t xml:space="preserve">0,8575</w:t>
            </w:r>
          </w:p>
        </w:tc>
        <w:tc>
          <w:tcPr>
            <w:tcW w:w="1701" w:type="dxa"/>
            <w:shd w:val="clear" w:color="auto" w:fill="EBF3FB"/>
            <w:vAlign w:val="center"/>
          </w:tcPr>
          <w:p>
            <w:pPr>
              <w:jc w:val="center"/>
            </w:pPr>
            <w:r>
              <w:rPr>
                <w:sz w:val="18"/>
              </w:rPr>
              <w:t xml:space="preserve">0,9549 ★</w:t>
            </w:r>
          </w:p>
        </w:tc>
      </w:tr>
      <w:tr>
        <w:trPr/>
        <w:tc>
          <w:tcPr>
            <w:tcW w:w="2381" w:type="dxa"/>
            <w:shd w:val="clear" w:color="auto" w:fill="FFFFFF"/>
            <w:vAlign w:val="center"/>
          </w:tcPr>
          <w:p>
            <w:pPr>
              <w:jc w:val="center"/>
            </w:pPr>
            <w:r>
              <w:rPr>
                <w:sz w:val="18"/>
              </w:rPr>
              <w:t xml:space="preserve">Artık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0,8756</w:t>
            </w:r>
          </w:p>
        </w:tc>
        <w:tc>
          <w:tcPr>
            <w:tcW w:w="1701" w:type="dxa"/>
            <w:shd w:val="clear" w:color="auto" w:fill="FFFFFF"/>
            <w:vAlign w:val="center"/>
          </w:tcPr>
          <w:p>
            <w:pPr>
              <w:jc w:val="center"/>
            </w:pPr>
            <w:r>
              <w:rPr>
                <w:sz w:val="18"/>
              </w:rPr>
              <w:t xml:space="preserve">0,8476</w:t>
            </w:r>
          </w:p>
        </w:tc>
        <w:tc>
          <w:tcPr>
            <w:tcW w:w="1701" w:type="dxa"/>
            <w:shd w:val="clear" w:color="auto" w:fill="FFFFFF"/>
            <w:vAlign w:val="center"/>
          </w:tcPr>
          <w:p>
            <w:pPr>
              <w:jc w:val="center"/>
            </w:pPr>
            <w:r>
              <w:rPr>
                <w:sz w:val="18"/>
              </w:rPr>
              <w:t xml:space="preserve">0,9453</w:t>
            </w:r>
          </w:p>
        </w:tc>
      </w:tr>
      <w:tr>
        <w:trPr/>
        <w:tc>
          <w:tcPr>
            <w:tcW w:w="2381" w:type="dxa"/>
            <w:shd w:val="clear" w:color="auto" w:fill="EBF3FB"/>
            <w:vAlign w:val="center"/>
          </w:tcPr>
          <w:p>
            <w:pPr>
              <w:jc w:val="center"/>
            </w:pPr>
            <w:r>
              <w:rPr>
                <w:sz w:val="18"/>
              </w:rPr>
              <w:t xml:space="preserve">XGBoost</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0,8735</w:t>
            </w:r>
          </w:p>
        </w:tc>
        <w:tc>
          <w:tcPr>
            <w:tcW w:w="1701" w:type="dxa"/>
            <w:shd w:val="clear" w:color="auto" w:fill="EBF3FB"/>
            <w:vAlign w:val="center"/>
          </w:tcPr>
          <w:p>
            <w:pPr>
              <w:jc w:val="center"/>
            </w:pPr>
            <w:r>
              <w:rPr>
                <w:sz w:val="18"/>
              </w:rPr>
              <w:t xml:space="preserve">0,8402</w:t>
            </w:r>
          </w:p>
        </w:tc>
        <w:tc>
          <w:tcPr>
            <w:tcW w:w="1701" w:type="dxa"/>
            <w:shd w:val="clear" w:color="auto" w:fill="EBF3FB"/>
            <w:vAlign w:val="center"/>
          </w:tcPr>
          <w:p>
            <w:pPr>
              <w:jc w:val="center"/>
            </w:pPr>
            <w:r>
              <w:rPr>
                <w:sz w:val="18"/>
              </w:rPr>
              <w:t xml:space="preserve">0,9463</w:t>
            </w:r>
          </w:p>
        </w:tc>
      </w:tr>
      <w:tr>
        <w:trPr/>
        <w:tc>
          <w:tcPr>
            <w:tcW w:w="2381" w:type="dxa"/>
            <w:shd w:val="clear" w:color="auto" w:fill="FFFFFF"/>
            <w:vAlign w:val="center"/>
          </w:tcPr>
          <w:p>
            <w:pPr>
              <w:jc w:val="center"/>
            </w:pPr>
            <w:r>
              <w:rPr>
                <w:sz w:val="18"/>
              </w:rPr>
              <w:t xml:space="preserve">Dikkat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0,8628</w:t>
            </w:r>
          </w:p>
        </w:tc>
        <w:tc>
          <w:tcPr>
            <w:tcW w:w="1701" w:type="dxa"/>
            <w:shd w:val="clear" w:color="auto" w:fill="FFFFFF"/>
            <w:vAlign w:val="center"/>
          </w:tcPr>
          <w:p>
            <w:pPr>
              <w:jc w:val="center"/>
            </w:pPr>
            <w:r>
              <w:rPr>
                <w:sz w:val="18"/>
              </w:rPr>
              <w:t xml:space="preserve">0,8293</w:t>
            </w:r>
          </w:p>
        </w:tc>
        <w:tc>
          <w:tcPr>
            <w:tcW w:w="1701" w:type="dxa"/>
            <w:shd w:val="clear" w:color="auto" w:fill="FFFFFF"/>
            <w:vAlign w:val="center"/>
          </w:tcPr>
          <w:p>
            <w:pPr>
              <w:jc w:val="center"/>
            </w:pPr>
            <w:r>
              <w:rPr>
                <w:sz w:val="18"/>
              </w:rPr>
              <w:t xml:space="preserve">0,9356</w:t>
            </w:r>
          </w:p>
        </w:tc>
      </w:tr>
      <w:tr>
        <w:trPr/>
        <w:tc>
          <w:tcPr>
            <w:tcW w:w="2381" w:type="dxa"/>
            <w:shd w:val="clear" w:color="auto" w:fill="EBF3FB"/>
            <w:vAlign w:val="center"/>
          </w:tcPr>
          <w:p>
            <w:pPr>
              <w:jc w:val="center"/>
            </w:pPr>
            <w:r>
              <w:rPr>
                <w:sz w:val="18"/>
              </w:rPr>
              <w:t xml:space="preserve">SVM-RBF</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0,8612</w:t>
            </w:r>
          </w:p>
        </w:tc>
        <w:tc>
          <w:tcPr>
            <w:tcW w:w="1701" w:type="dxa"/>
            <w:shd w:val="clear" w:color="auto" w:fill="EBF3FB"/>
            <w:vAlign w:val="center"/>
          </w:tcPr>
          <w:p>
            <w:pPr>
              <w:jc w:val="center"/>
            </w:pPr>
            <w:r>
              <w:rPr>
                <w:sz w:val="18"/>
              </w:rPr>
              <w:t xml:space="preserve">0,8252</w:t>
            </w:r>
          </w:p>
        </w:tc>
        <w:tc>
          <w:tcPr>
            <w:tcW w:w="1701" w:type="dxa"/>
            <w:shd w:val="clear" w:color="auto" w:fill="EBF3FB"/>
            <w:vAlign w:val="center"/>
          </w:tcPr>
          <w:p>
            <w:pPr>
              <w:jc w:val="center"/>
            </w:pPr>
            <w:r>
              <w:rPr>
                <w:sz w:val="18"/>
              </w:rPr>
              <w:t xml:space="preserve">0,9347</w:t>
            </w:r>
          </w:p>
        </w:tc>
      </w:tr>
      <w:tr>
        <w:trPr/>
        <w:tc>
          <w:tcPr>
            <w:tcW w:w="2381" w:type="dxa"/>
            <w:shd w:val="clear" w:color="auto" w:fill="FFFFFF"/>
            <w:vAlign w:val="center"/>
          </w:tcPr>
          <w:p>
            <w:pPr>
              <w:jc w:val="center"/>
            </w:pPr>
            <w:r>
              <w:rPr>
                <w:sz w:val="18"/>
              </w:rPr>
              <w:t xml:space="preserve">Gradyan Artırma</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0,8685</w:t>
            </w:r>
          </w:p>
        </w:tc>
        <w:tc>
          <w:tcPr>
            <w:tcW w:w="1701" w:type="dxa"/>
            <w:shd w:val="clear" w:color="auto" w:fill="FFFFFF"/>
            <w:vAlign w:val="center"/>
          </w:tcPr>
          <w:p>
            <w:pPr>
              <w:jc w:val="center"/>
            </w:pPr>
            <w:r>
              <w:rPr>
                <w:sz w:val="18"/>
              </w:rPr>
              <w:t xml:space="preserve">0,8337</w:t>
            </w:r>
          </w:p>
        </w:tc>
        <w:tc>
          <w:tcPr>
            <w:tcW w:w="1701" w:type="dxa"/>
            <w:shd w:val="clear" w:color="auto" w:fill="FFFFFF"/>
            <w:vAlign w:val="center"/>
          </w:tcPr>
          <w:p>
            <w:pPr>
              <w:jc w:val="center"/>
            </w:pPr>
            <w:r>
              <w:rPr>
                <w:sz w:val="18"/>
              </w:rPr>
              <w:t xml:space="preserve">0,9406</w:t>
            </w:r>
          </w:p>
        </w:tc>
      </w:tr>
      <w:tr>
        <w:trPr/>
        <w:tc>
          <w:tcPr>
            <w:tcW w:w="2381" w:type="dxa"/>
            <w:shd w:val="clear" w:color="auto" w:fill="EBF3FB"/>
            <w:vAlign w:val="center"/>
          </w:tcPr>
          <w:p>
            <w:pPr>
              <w:jc w:val="center"/>
            </w:pPr>
            <w:r>
              <w:rPr>
                <w:sz w:val="18"/>
              </w:rPr>
              <w:t xml:space="preserve">Rastgele Orman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0,8604</w:t>
            </w:r>
          </w:p>
        </w:tc>
        <w:tc>
          <w:tcPr>
            <w:tcW w:w="1701" w:type="dxa"/>
            <w:shd w:val="clear" w:color="auto" w:fill="EBF3FB"/>
            <w:vAlign w:val="center"/>
          </w:tcPr>
          <w:p>
            <w:pPr>
              <w:jc w:val="center"/>
            </w:pPr>
            <w:r>
              <w:rPr>
                <w:sz w:val="18"/>
              </w:rPr>
              <w:t xml:space="preserve">0,8183</w:t>
            </w:r>
          </w:p>
        </w:tc>
        <w:tc>
          <w:tcPr>
            <w:tcW w:w="1701" w:type="dxa"/>
            <w:shd w:val="clear" w:color="auto" w:fill="EBF3FB"/>
            <w:vAlign w:val="center"/>
          </w:tcPr>
          <w:p>
            <w:pPr>
              <w:jc w:val="center"/>
            </w:pPr>
            <w:r>
              <w:rPr>
                <w:sz w:val="18"/>
              </w:rPr>
              <w:t xml:space="preserve">0,9393</w:t>
            </w:r>
          </w:p>
        </w:tc>
      </w:tr>
      <w:tr>
        <w:trPr/>
        <w:tc>
          <w:tcPr>
            <w:tcW w:w="2381" w:type="dxa"/>
            <w:shd w:val="clear" w:color="auto" w:fill="FFFFFF"/>
            <w:vAlign w:val="center"/>
          </w:tcPr>
          <w:p>
            <w:pPr>
              <w:jc w:val="center"/>
            </w:pPr>
            <w:r>
              <w:rPr>
                <w:sz w:val="18"/>
              </w:rPr>
              <w:t xml:space="preserve">ÇKA Sinir Ağı</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0,8545</w:t>
            </w:r>
          </w:p>
        </w:tc>
        <w:tc>
          <w:tcPr>
            <w:tcW w:w="1701" w:type="dxa"/>
            <w:shd w:val="clear" w:color="auto" w:fill="FFFFFF"/>
            <w:vAlign w:val="center"/>
          </w:tcPr>
          <w:p>
            <w:pPr>
              <w:jc w:val="center"/>
            </w:pPr>
            <w:r>
              <w:rPr>
                <w:sz w:val="18"/>
              </w:rPr>
              <w:t xml:space="preserve">0,8189</w:t>
            </w:r>
          </w:p>
        </w:tc>
        <w:tc>
          <w:tcPr>
            <w:tcW w:w="1701" w:type="dxa"/>
            <w:shd w:val="clear" w:color="auto" w:fill="FFFFFF"/>
            <w:vAlign w:val="center"/>
          </w:tcPr>
          <w:p>
            <w:pPr>
              <w:jc w:val="center"/>
            </w:pPr>
            <w:r>
              <w:rPr>
                <w:sz w:val="18"/>
              </w:rPr>
              <w:t xml:space="preserve">0,9258</w:t>
            </w:r>
          </w:p>
        </w:tc>
      </w:tr>
      <w:tr>
        <w:trPr/>
        <w:tc>
          <w:tcPr>
            <w:tcW w:w="2381" w:type="dxa"/>
            <w:shd w:val="clear" w:color="auto" w:fill="EBF3FB"/>
            <w:vAlign w:val="center"/>
          </w:tcPr>
          <w:p>
            <w:pPr>
              <w:jc w:val="center"/>
            </w:pPr>
            <w:r>
              <w:rPr>
                <w:sz w:val="18"/>
              </w:rPr>
              <w:t xml:space="preserve">Lojistik Regresyon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0,7779</w:t>
            </w:r>
          </w:p>
        </w:tc>
        <w:tc>
          <w:tcPr>
            <w:tcW w:w="1701" w:type="dxa"/>
            <w:shd w:val="clear" w:color="auto" w:fill="EBF3FB"/>
            <w:vAlign w:val="center"/>
          </w:tcPr>
          <w:p>
            <w:pPr>
              <w:jc w:val="center"/>
            </w:pPr>
            <w:r>
              <w:rPr>
                <w:sz w:val="18"/>
              </w:rPr>
              <w:t xml:space="preserve">0,7390</w:t>
            </w:r>
          </w:p>
        </w:tc>
        <w:tc>
          <w:tcPr>
            <w:tcW w:w="1701" w:type="dxa"/>
            <w:shd w:val="clear" w:color="auto" w:fill="EBF3FB"/>
            <w:vAlign w:val="center"/>
          </w:tcPr>
          <w:p>
            <w:pPr>
              <w:jc w:val="center"/>
            </w:pPr>
            <w:r>
              <w:rPr>
                <w:sz w:val="18"/>
              </w:rPr>
              <w:t xml:space="preserve">0,8511</w:t>
            </w:r>
          </w:p>
        </w:tc>
      </w:tr>
      <w:tr>
        <w:trPr/>
        <w:tc>
          <w:tcPr>
            <w:tcW w:w="2381" w:type="dxa"/>
            <w:shd w:val="clear" w:color="auto" w:fill="FFFFFF"/>
            <w:vAlign w:val="center"/>
          </w:tcPr>
          <w:p>
            <w:pPr>
              <w:jc w:val="center"/>
            </w:pPr>
            <w:r>
              <w:rPr>
                <w:sz w:val="18"/>
              </w:rPr>
              <w:t xml:space="preserve">1B-ESA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0,7665</w:t>
            </w:r>
          </w:p>
        </w:tc>
        <w:tc>
          <w:tcPr>
            <w:tcW w:w="1701" w:type="dxa"/>
            <w:shd w:val="clear" w:color="auto" w:fill="FFFFFF"/>
            <w:vAlign w:val="center"/>
          </w:tcPr>
          <w:p>
            <w:pPr>
              <w:jc w:val="center"/>
            </w:pPr>
            <w:r>
              <w:rPr>
                <w:sz w:val="18"/>
              </w:rPr>
              <w:t xml:space="preserve">0,7159</w:t>
            </w:r>
          </w:p>
        </w:tc>
        <w:tc>
          <w:tcPr>
            <w:tcW w:w="1701" w:type="dxa"/>
            <w:shd w:val="clear" w:color="auto" w:fill="FFFFFF"/>
            <w:vAlign w:val="center"/>
          </w:tcPr>
          <w:p>
            <w:pPr>
              <w:jc w:val="center"/>
            </w:pPr>
            <w:r>
              <w:rPr>
                <w:sz w:val="18"/>
              </w:rPr>
              <w:t xml:space="preserve">0,8442</w:t>
            </w:r>
          </w:p>
        </w:tc>
      </w:tr>
    </w:tbl>
    <w:p>
      <w:pPr>
        <w:pStyle w:val="ekilYazs"/>
        <w:jc w:val="center"/>
      </w:pPr>
      <w:r>
        <w:rPr>
          <w:b/>
        </w:rPr>
        <w:t xml:space="preserve">Çizelge 4.2. Tüm modeller performans özet çizelgesi — ★ her sütunun en yüksek değerini gösterir.</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tahmin performansı tahmini (veri kümesi yüzdelerine göre kestirim).</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[2];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(2023)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(2025) [1] öznitelik tabanlı yaklaşımların ham ses tabanlı modellere yakın performans sağlayabildiğini deneysel olarak ortaya koymuştur; AURIS bu bulguyu MO-DÖ yakınsaması (0,0012 AUC farkı) ile bağımsız biçimde doğrulamaktadır. Kosta vd. (2025) [10] müzik yapısal analiz yöntemiyle yüksek performans rapor etmiştir; ancak o yaklaşım segment düzeyinde dönüşümcü (transformer) mimarisi gerektirmekte ve açık erişimli değildir. Bhatt vd. (2025)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(2025)</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(2025)</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Afchar, D., Meseguer Brocal, G. ve Hennequin, R. (2025). AI-Generated Music Detection and Its Challenges. Proc. IEEE ICASSP 2025. https://doi.org/10.48550/arXiv.2501.10111</w:t>
      </w:r>
    </w:p>
    <w:p>
      <w:pPr>
        <w:pStyle w:val="Normal"/>
      </w:pPr>
      <w:r>
        <w:t xml:space="preserve">[2]	Bhatt, A., Rajan, A., Goel, A. ve Gupta, M. (2025). AI-Generated Music Detection: A Survey of Methods and Datasets. arXiv:2502.04668.</w:t>
      </w:r>
    </w:p>
    <w:p>
      <w:pPr>
        <w:pStyle w:val="Normal"/>
      </w:pPr>
      <w:r>
        <w:t xml:space="preserve">[3]	Liu, Y., Tan, X., Li, S., Chen, X., Zhao, Y. ve Qian, T. (2024). From Audio Deepfake Detection to AI-Generated Music Detection: A Pathway and Overview. arXiv:2412.00571.</w:t>
      </w:r>
    </w:p>
    <w:p>
      <w:pPr>
        <w:pStyle w:val="Normal"/>
      </w:pPr>
      <w:r>
        <w:t xml:space="preserve">[4]	Dhariwal, P., Jun, H., Payne, C., Kim, J. W., Radford, A. ve Sutskever, I. (2020). Jukebox: A Generative Model for Music. arXiv:2005.00341.</w:t>
      </w:r>
    </w:p>
    <w:p>
      <w:pPr>
        <w:pStyle w:val="Normal"/>
      </w:pPr>
      <w:r>
        <w:t xml:space="preserve">[5]	Copet, J., Kreuk, F., Gat, I., Remez, T., Kant, D., Synnaeve, G., Adi, Y. ve Défossez, A. (2023). Simple and Controllable Music Generation. Advances in Neural Information Processing Systems, 36, 47704-47720.</w:t>
      </w:r>
    </w:p>
    <w:p>
      <w:pPr>
        <w:pStyle w:val="Normal"/>
      </w:pPr>
      <w:r>
        <w:t xml:space="preserve">[6]	Liu, H., Chen, Z., Yuan, Y., Mei, X., Liu, X., Mandic, D., Wang, W. ve Plumbley, M. D. (2023). AudioLDM: Text-to-Audio Generation with Latent Diffusion Models. Proc. ICML 2023.</w:t>
      </w:r>
    </w:p>
    <w:p>
      <w:pPr>
        <w:pStyle w:val="Normal"/>
      </w:pPr>
      <w:r>
        <w:t xml:space="preserve">[7]	Frank, J. ve Schönherr, L. (2021). WaveFake: A Data Set to Facilitate Audio Deepfake Detection. NeurIPS 2021 Datasets and Benchmarks Track.</w:t>
      </w:r>
    </w:p>
    <w:p>
      <w:pPr>
        <w:pStyle w:val="Normal"/>
      </w:pPr>
      <w:r>
        <w:t xml:space="preserve">[8]	Yi, J., Fu, R., Tao, J., Nie, S., Ma, H., Wang, C. ve diğerleri. (2022). ADD 2022: The First Audio Deep Synthesis Detection Challenge. Proc. ICASSP 2022, s. 9216-9220. IEEE.</w:t>
      </w:r>
    </w:p>
    <w:p>
      <w:pPr>
        <w:pStyle w:val="Normal"/>
      </w:pPr>
      <w:r>
        <w:t xml:space="preserve">[9]	Martín-Doñas, J. M. ve Álvarez, A. (2022). The Vicomtech Audio Deepfake Detection System Based on Wav2vec2 for the 2022 ADD Challenge. Proc. ICASSP 2022, s. 9266-9270. IEEE.</w:t>
      </w:r>
    </w:p>
    <w:p>
      <w:pPr>
        <w:pStyle w:val="Normal"/>
      </w:pPr>
      <w:r>
        <w:t xml:space="preserve">[10]	Kosta, K., Meseguer Brocal, G., Afchar, D. ve Hennequin, R. (2025). Segment Transformer: AI-Generated Music Detection via Music Structural Analysis. arXiv:2509.08283.</w:t>
      </w:r>
    </w:p>
    <w:p>
      <w:pPr>
        <w:pStyle w:val="Normal"/>
      </w:pPr>
      <w:r>
        <w:t xml:space="preserve">[11]	Baevski, A., Zhou, Y., Mohamed, A. ve Auli, M. (2020). wav2vec 2.0: A Framework for Self-Supervised Learning of Speech Representations. Advances in Neural Information Processing Systems, 33, 12449-12460.</w:t>
      </w:r>
    </w:p>
    <w:p>
      <w:pPr>
        <w:pStyle w:val="Normal"/>
      </w:pPr>
      <w:r>
        <w:t xml:space="preserve">[12]	Elizalde, B., Deshmukh, S., Al Ismail, M. ve Wang, H. (2023). CLAP: Learning Audio Concepts from Natural Language Supervision. Proc. ICASSP 2023, s. 1-5. IEEE.</w:t>
      </w:r>
    </w:p>
    <w:p>
      <w:pPr>
        <w:pStyle w:val="Normal"/>
      </w:pPr>
      <w:r>
        <w:t xml:space="preserve">[13]	Wu, Y., Chen, K., Zhang, T., Hui, Y., Berg-Kirkpatrick, T. ve Dubnov, S. (2023). Large-Scale Contrastive Language-Audio Pretraining with Feature Fusion. Proc. ICASSP 2023. IEEE.</w:t>
      </w:r>
    </w:p>
    <w:p>
      <w:pPr>
        <w:pStyle w:val="Normal"/>
      </w:pPr>
      <w:r>
        <w:t xml:space="preserve">[14]	Gourisaria, M. K., Agrawal, R. ve Sahni, M. (2024). Comparative Analysis of Audio Classification with MFCC and STFT Features Using Machine Learning Techniques. Discover Internet of Things, 4.</w:t>
      </w:r>
    </w:p>
    <w:p>
      <w:pPr>
        <w:pStyle w:val="Normal"/>
      </w:pPr>
      <w:r>
        <w:t xml:space="preserve">[15]	Kostrzewa, D., Mazur, W. ve Brzeski, R. (2022). Wide Ensembles of Neural Networks in Music Genre Classification. Proc. MISSI 2022, s. 91-102. Springer.</w:t>
      </w:r>
    </w:p>
    <w:p>
      <w:pPr>
        <w:pStyle w:val="Normal"/>
      </w:pPr>
      <w:r>
        <w:t xml:space="preserve">[16]	Gan, R., Huang, T., Shao, J. ve Wang, F. (2024). Music Genre Classification Based on VMD-IWOA-XGBoost. Mathematics, 12(10), 1549. https://doi.org/10.3390/math12101549</w:t>
      </w:r>
    </w:p>
    <w:p>
      <w:pPr>
        <w:pStyle w:val="Normal"/>
      </w:pPr>
      <w:r>
        <w:t xml:space="preserve">[17]	Liu, Y., Yin, Y., Zhu, Q. ve Cui, W. (2022). Musical Instrument Recognition by XGBoost Combining Feature Fusion. arXiv:2206.00901.</w:t>
      </w:r>
    </w:p>
    <w:p>
      <w:pPr>
        <w:pStyle w:val="Normal"/>
      </w:pPr>
      <w:r>
        <w:t xml:space="preserve">[18]	McFee, B., Raffel, C., Liang, D., Ellis, D. P. W., McVicar, M., Battenberg, E. ve Nieto, O. (2015). librosa: Audio and Music Signal Analysis in Python. Proc. 14th Python in Science Conference, s. 18-25.</w:t>
      </w:r>
    </w:p>
    <w:p>
      <w:pPr>
        <w:pStyle w:val="Normal"/>
      </w:pPr>
      <w:r>
        <w:t xml:space="preserve">[19]	Pedregosa, F., Varoquaux, G., Gramfort, A., Michel, V., Thirion, B., Grisel, O. ve diğerleri. (2011). Scikit-learn: Machine Learning in Python. Journal of Machine Learning Research, 12, 2825-2830.</w:t>
      </w:r>
    </w:p>
    <w:p>
      <w:pPr>
        <w:pStyle w:val="Normal"/>
      </w:pPr>
      <w:r>
        <w:t xml:space="preserve">[20]	Chen, T. ve Guestrin, C. (2016). XGBoost: A Scalable Tree Boosting System. Proc. 22nd ACM SIGKDD International Conference on Knowledge Discovery and Data Mining, s. 785-794.</w:t>
      </w:r>
    </w:p>
    <w:p>
      <w:pPr>
        <w:pStyle w:val="Normal"/>
      </w:pPr>
      <w:r>
        <w:t xml:space="preserve">[21]	Ke, G., Meng, Q., Finley, T., Wang, T., Chen, W., Ma, W., Ye, Q. ve Liu, T. (2017). LightGBM: A Highly Efficient Gradient Boosting Decision Tree. Advances in Neural Information Processing Systems, 30.</w:t>
      </w:r>
    </w:p>
    <w:p>
      <w:pPr>
        <w:pStyle w:val="Normal"/>
      </w:pPr>
      <w:r>
        <w:t xml:space="preserve">[22]	Paszke, A. ve diğerleri. (2019). PyTorch: An Imperative Style, High-Performance Deep Learning Library. Advances in Neural Information Processing Systems, 32.</w:t>
      </w:r>
    </w:p>
    <w:p>
      <w:pPr>
        <w:pStyle w:val="Normal"/>
      </w:pPr>
      <w:r>
        <w:t xml:space="preserve">[23]	Lundberg, S. M. ve Lee, S. I. (2017). A Unified Approach to Interpreting Model Predictions. Advances in Neural Information Processing Systems, 30.</w:t>
      </w:r>
    </w:p>
    <w:p>
      <w:pPr>
        <w:pStyle w:val="Normal"/>
      </w:pPr>
      <w:r>
        <w:t xml:space="preserve">[24]	Yi, J., Wang, C., Tao, J., Zhang, X., Zhang, C. Y. ve Zhao, Y. (2023). Audio Deepfake Detection: A Survey.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olarak gönderilmiştir.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