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i w:val="0"/>
          <w:color w:val="333333"/>
          <w:sz w:val="27"/>
        </w:rPr>
        <w:t>AURIS: Çoklu-Model Topluluk Yaklaşımı ile Yapay Zekâ Tarafından Üretilen Müziklerin Tespiti</w:t>
      </w:r>
    </w:p>
    <w:p>
      <w:pPr>
        <w:spacing w:after="40"/>
        <w:jc w:val="center"/>
      </w:pPr>
      <w:r>
        <w:rPr>
          <w:rFonts w:ascii="Times New Roman" w:hAnsi="Times New Roman" w:cs="Times New Roman" w:eastAsia="Times New Roman"/>
          <w:b/>
          <w:i w:val="0"/>
          <w:color w:val="333333"/>
          <w:sz w:val="17"/>
        </w:rPr>
        <w:t>Hasan Arthur Altuntaş</w:t>
      </w:r>
    </w:p>
    <w:p>
      <w:pPr>
        <w:spacing w:after="320"/>
        <w:jc w:val="center"/>
      </w:pPr>
      <w:r>
        <w:rPr>
          <w:rFonts w:ascii="Times New Roman" w:hAnsi="Times New Roman" w:cs="Times New Roman" w:eastAsia="Times New Roman"/>
          <w:b w:val="0"/>
          <w:i w:val="0"/>
          <w:color w:val="333333"/>
          <w:sz w:val="15"/>
        </w:rPr>
        <w:t>Düzce Üniversitesi, Mühendislik Fakültesi, Bilgisayar Mühendisliği Bölümü, 81620, Düzce, Türkiye</w:t>
      </w:r>
    </w:p>
    <w:p>
      <w:pPr>
        <w:spacing w:before="160" w:after="40" w:line="240" w:lineRule="auto"/>
        <w:jc w:val="left"/>
        <w:keepNext/>
      </w:pPr>
      <w:r>
        <w:rPr>
          <w:rFonts w:ascii="Times New Roman" w:hAnsi="Times New Roman" w:cs="Times New Roman" w:eastAsia="Times New Roman"/>
          <w:b/>
          <w:i/>
          <w:color w:val="333333"/>
          <w:sz w:val="17"/>
        </w:rPr>
        <w:t>Ö N E   Ç I K A N L A R</w:t>
      </w:r>
    </w:p>
    <w:p>
      <w:pPr>
        <w:spacing w:after="60"/>
        <w:ind w:left="283"/>
      </w:pPr>
      <w:r>
        <w:rPr>
          <w:rFonts w:ascii="Times New Roman" w:hAnsi="Times New Roman" w:cs="Times New Roman" w:eastAsia="Times New Roman"/>
          <w:b w:val="0"/>
          <w:i w:val="0"/>
          <w:color w:val="333333"/>
          <w:sz w:val="17"/>
        </w:rPr>
        <w:t>• 5.195 müzik örneği ve 47 boyutlu akustik öznitelik vektörü ile yapay zekâ tarafından üretilen müziği insan kompozisyonundan ayırt eden uçtan-uca bir sistem önerilmiştir.</w:t>
      </w:r>
    </w:p>
    <w:p>
      <w:pPr>
        <w:spacing w:after="60"/>
        <w:ind w:left="283"/>
      </w:pPr>
      <w:r>
        <w:rPr>
          <w:rFonts w:ascii="Times New Roman" w:hAnsi="Times New Roman" w:cs="Times New Roman" w:eastAsia="Times New Roman"/>
          <w:b w:val="0"/>
          <w:i w:val="0"/>
          <w:color w:val="333333"/>
          <w:sz w:val="17"/>
        </w:rPr>
        <w:t>• Yedi makine öğrenmesi ve dört derin öğrenme algoritması, ortak bir 5-katlı çapraz doğrulama protokolü altında karşılaştırılmıştır.</w:t>
      </w:r>
    </w:p>
    <w:p>
      <w:pPr>
        <w:spacing w:after="60"/>
        <w:ind w:left="283"/>
      </w:pPr>
      <w:r>
        <w:rPr>
          <w:rFonts w:ascii="Times New Roman" w:hAnsi="Times New Roman" w:cs="Times New Roman" w:eastAsia="Times New Roman"/>
          <w:b w:val="0"/>
          <w:i w:val="0"/>
          <w:color w:val="333333"/>
          <w:sz w:val="17"/>
        </w:rPr>
        <w:t>• LightGBM, %95,48 ROC-AUC değeri ile en yüksek performansı sergilemiş; her kat arasında yalnızca ±0,0023 standart sapma ile en kararlı modeli oluşturmuştur.</w:t>
      </w:r>
    </w:p>
    <w:p>
      <w:pPr>
        <w:spacing w:after="60"/>
        <w:ind w:left="283"/>
      </w:pPr>
      <w:r>
        <w:rPr>
          <w:rFonts w:ascii="Times New Roman" w:hAnsi="Times New Roman" w:cs="Times New Roman" w:eastAsia="Times New Roman"/>
          <w:b w:val="0"/>
          <w:i w:val="0"/>
          <w:color w:val="333333"/>
          <w:sz w:val="17"/>
        </w:rPr>
        <w:t>• Spektral düzlük (spectral flatness) standart sapması, yapay zekâ-insan ayrımı için en bilgilendirici tek öznitelik olarak tespit edilmiştir.</w:t>
      </w:r>
    </w:p>
    <w:p>
      <w:pPr>
        <w:spacing w:before="160" w:after="40" w:line="240" w:lineRule="auto"/>
        <w:jc w:val="left"/>
        <w:keepNext/>
      </w:pPr>
      <w:r>
        <w:rPr>
          <w:rFonts w:ascii="Times New Roman" w:hAnsi="Times New Roman" w:cs="Times New Roman" w:eastAsia="Times New Roman"/>
          <w:b/>
          <w:i/>
          <w:color w:val="333333"/>
          <w:sz w:val="17"/>
        </w:rPr>
        <w:t>Makale Bilgileri</w:t>
      </w:r>
    </w:p>
    <w:p>
      <w:pPr>
        <w:spacing w:line="240" w:lineRule="auto" w:before="0" w:after="120"/>
        <w:ind w:firstLine="283"/>
        <w:jc w:val="both"/>
      </w:pPr>
      <w:r>
        <w:rPr>
          <w:rFonts w:ascii="Times New Roman" w:hAnsi="Times New Roman" w:cs="Times New Roman" w:eastAsia="Times New Roman"/>
          <w:b w:val="0"/>
          <w:i w:val="0"/>
          <w:color w:val="333333"/>
          <w:sz w:val="17"/>
        </w:rPr>
        <w:t>Araştırma Makalesi  ·  Geliş: 20.05.2026  ·  Anahtar Kelimeler: Yapay zekâ tarafından üretilen müzik, derin öğrenme, gradyan artırma, topluluk öğrenmesi, ses sınıflandırması, spektral düzlük.</w:t>
      </w:r>
    </w:p>
    <w:p>
      <w:pPr>
        <w:spacing w:before="160" w:after="40" w:line="240" w:lineRule="auto"/>
        <w:jc w:val="left"/>
        <w:keepNext/>
      </w:pPr>
      <w:r>
        <w:rPr>
          <w:rFonts w:ascii="Times New Roman" w:hAnsi="Times New Roman" w:cs="Times New Roman" w:eastAsia="Times New Roman"/>
          <w:b/>
          <w:i/>
          <w:color w:val="333333"/>
          <w:sz w:val="17"/>
        </w:rPr>
        <w:t>ÖZ</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tabanlı metinden müziğe (text-to-music) üretim sistemlerinin -Suno, Udio ve MusicGen başta olmak üzere- son üç yıl içerisindeki hızlı yaygınlaşması, üretilen müzik parçalarının insan eliyle bestelenmiş kayıtlardan ayırt edilmesini bir tespit problemi olarak gündeme getirmiştir. Bu problem; telif hakkı atıflandırması, çevrimiçi akış platformlarının içerik bütünlüğü ve sanatçıların ekonomik hakları açısından önemli bir araştırma konusu hâline gelmiştir. Bu çalışmada, 47 boyutlu elle tasarlanmış bir akustik öznitelik vektörü ile yedi makine öğrenmesi (Machine Learning-ML) ve dört derin öğrenme (Deep Learning-DL) algoritmasından oluşan on bir modelli bir topluluk öğrenmesi yaklaşımını birleştiren AURIS adlı yenilikçi bir sistem önerilmektedir. Önerilen sistemin eğitimi ve değerlendirilmesi için, on iki veya daha fazla GenAI üretici sisteminden ve birden çok insan kaynağından (GTZAN, FMA, SleepyJesse kapakları) derlenen 5.195 örneklik halka açık bir veri kümesi kullanılmıştır. Önerilen sistem kapsamında değerlendirilen on bir model arasından LightGBM (Light Gradient Boosting Machine), %95,48 ROC-AUC değeri ve ±0,0023 standart sapma ile hem en yüksek ortalama hem de katlar-arası en düşük varyansı bir araya getirerek en başarılı sonucu elde etmiştir. Derin Çok Katmanlı Algılayıcı (Deep Multi-Layer Perceptron-DMLP) %95,42 ROC-AUC ile çok yakın bir ikinci sırayı almıştır. Spektral düzlük (spectral flatness) standart sapması özniteliği, öznitelik önem sıralamasında ilk sırayı belirgin bir farkla elde etmiştir. Youden'in J istatistiği ile optimize edilen θ* = 0,4316 karar eşiği, varsayılan 0,5 eşiğine kıyasla dengeli doğruluğu sistematik biçimde iyileştirmiştir. Brier skoru 0,083 olarak ölçülmüş ve önerilen modelin olasılık çıktılarının iyi kalibre olduğu doğrulanmıştır. Tanılayıcı analiz sonuçları, ağaç tabanlı tüm modellerin eğitim ve çapraz doğrulama doğrulukları arasında 8-14 puanlık bir fark sergilediğini ve mevcut 47 özniteliğin yaklaşık 17 tanesinin ölçülebilir bir ek doğruluk sağlamadığını ortaya koymuştur.</w:t>
      </w:r>
    </w:p>
    <w:p>
      <w:pPr>
        <w:spacing w:before="160" w:after="40" w:line="240" w:lineRule="auto"/>
        <w:jc w:val="left"/>
        <w:keepNext/>
      </w:pPr>
      <w:r>
        <w:rPr>
          <w:rFonts w:ascii="Times New Roman" w:hAnsi="Times New Roman" w:cs="Times New Roman" w:eastAsia="Times New Roman"/>
          <w:b/>
          <w:i/>
          <w:color w:val="333333"/>
          <w:sz w:val="17"/>
        </w:rPr>
        <w:t>Anahtar Kelimeler</w:t>
      </w:r>
    </w:p>
    <w:p>
      <w:pPr>
        <w:spacing w:line="240" w:lineRule="auto" w:before="0" w:after="120"/>
        <w:ind w:firstLine="283"/>
        <w:jc w:val="both"/>
      </w:pPr>
      <w:r>
        <w:rPr>
          <w:rFonts w:ascii="Times New Roman" w:hAnsi="Times New Roman" w:cs="Times New Roman" w:eastAsia="Times New Roman"/>
          <w:b w:val="0"/>
          <w:i w:val="0"/>
          <w:color w:val="333333"/>
          <w:sz w:val="17"/>
        </w:rPr>
        <w:t>Yapay zekâ tarafından üretilen müzik · Derin öğrenme · Gradyan artırma · Topluluk öğrenmesi · Ses sınıflandırması · Spektral düzlük</w:t>
      </w:r>
    </w:p>
    <w:p>
      <w:pPr>
        <w:spacing w:before="400" w:after="80"/>
        <w:jc w:val="center"/>
      </w:pPr>
      <w:r>
        <w:rPr>
          <w:rFonts w:ascii="Times New Roman" w:hAnsi="Times New Roman" w:cs="Times New Roman" w:eastAsia="Times New Roman"/>
          <w:b/>
          <w:i/>
          <w:color w:val="333333"/>
          <w:sz w:val="22"/>
        </w:rPr>
        <w:t>AURIS: A Multi-Model Ensemble Approach for the Detection of AI-Generated Music</w:t>
      </w:r>
    </w:p>
    <w:p>
      <w:pPr>
        <w:spacing w:before="160" w:after="40" w:line="240" w:lineRule="auto"/>
        <w:jc w:val="left"/>
        <w:keepNext/>
      </w:pPr>
      <w:r>
        <w:rPr>
          <w:rFonts w:ascii="Times New Roman" w:hAnsi="Times New Roman" w:cs="Times New Roman" w:eastAsia="Times New Roman"/>
          <w:b/>
          <w:i/>
          <w:color w:val="333333"/>
          <w:sz w:val="17"/>
        </w:rPr>
        <w:t>H I G H L I G H T S</w:t>
      </w:r>
    </w:p>
    <w:p>
      <w:pPr>
        <w:spacing w:after="60"/>
        <w:ind w:left="283"/>
      </w:pPr>
      <w:r>
        <w:rPr>
          <w:rFonts w:ascii="Times New Roman" w:hAnsi="Times New Roman" w:cs="Times New Roman" w:eastAsia="Times New Roman"/>
          <w:b w:val="0"/>
          <w:i/>
          <w:color w:val="333333"/>
          <w:sz w:val="17"/>
        </w:rPr>
        <w:t>• An end-to-end system distinguishing AI-generated music from human composition, using a 47-dimensional acoustic feature vector and 5,195 audio samples.</w:t>
      </w:r>
    </w:p>
    <w:p>
      <w:pPr>
        <w:spacing w:after="60"/>
        <w:ind w:left="283"/>
      </w:pPr>
      <w:r>
        <w:rPr>
          <w:rFonts w:ascii="Times New Roman" w:hAnsi="Times New Roman" w:cs="Times New Roman" w:eastAsia="Times New Roman"/>
          <w:b w:val="0"/>
          <w:i/>
          <w:color w:val="333333"/>
          <w:sz w:val="17"/>
        </w:rPr>
        <w:t>• Seven machine learning and four deep learning algorithms compared under a unified 5-fold cross-validation protocol.</w:t>
      </w:r>
    </w:p>
    <w:p>
      <w:pPr>
        <w:spacing w:after="60"/>
        <w:ind w:left="283"/>
      </w:pPr>
      <w:r>
        <w:rPr>
          <w:rFonts w:ascii="Times New Roman" w:hAnsi="Times New Roman" w:cs="Times New Roman" w:eastAsia="Times New Roman"/>
          <w:b w:val="0"/>
          <w:i/>
          <w:color w:val="333333"/>
          <w:sz w:val="17"/>
        </w:rPr>
        <w:t>• LightGBM achieves the top performance with 95.48% ROC-AUC and the lowest cross-fold variance (±0.0023) in the entire pool.</w:t>
      </w:r>
    </w:p>
    <w:p>
      <w:pPr>
        <w:spacing w:after="60"/>
        <w:ind w:left="283"/>
      </w:pPr>
      <w:r>
        <w:rPr>
          <w:rFonts w:ascii="Times New Roman" w:hAnsi="Times New Roman" w:cs="Times New Roman" w:eastAsia="Times New Roman"/>
          <w:b w:val="0"/>
          <w:i/>
          <w:color w:val="333333"/>
          <w:sz w:val="17"/>
        </w:rPr>
        <w:t>• Spectral flatness standard deviation emerges as the single most informative feature for the AI-versus-human distinction.</w:t>
      </w:r>
    </w:p>
    <w:p>
      <w:pPr>
        <w:spacing w:before="160" w:after="40" w:line="240" w:lineRule="auto"/>
        <w:jc w:val="left"/>
        <w:keepNext/>
      </w:pPr>
      <w:r>
        <w:rPr>
          <w:rFonts w:ascii="Times New Roman" w:hAnsi="Times New Roman" w:cs="Times New Roman" w:eastAsia="Times New Roman"/>
          <w:b/>
          <w:i/>
          <w:color w:val="333333"/>
          <w:sz w:val="17"/>
        </w:rPr>
        <w:t>ABSTRACT</w:t>
      </w:r>
    </w:p>
    <w:p>
      <w:pPr>
        <w:spacing w:line="240" w:lineRule="auto" w:before="0" w:after="120"/>
        <w:ind w:firstLine="283"/>
        <w:jc w:val="both"/>
      </w:pPr>
      <w:r>
        <w:rPr>
          <w:rFonts w:ascii="Times New Roman" w:hAnsi="Times New Roman" w:cs="Times New Roman" w:eastAsia="Times New Roman"/>
          <w:b w:val="0"/>
          <w:i w:val="0"/>
          <w:color w:val="333333"/>
          <w:sz w:val="17"/>
        </w:rPr>
        <w:t>The proliferation of text-to-music generators such as Suno, Udio and MusicGen has raised a detection problem of practical importance for copyright attribution, streaming-platform integrity and artist economics. This paper proposes AURIS, a system that couples a 47-dimensional handcrafted acoustic feature vector with an ensemble of eleven classifiers. The models are trained on a dataset of 5,195 samples drawn from twelve or more AI generation systems and multiple human sources (GTZAN, FMA, SleepyJesse covers) under 5-fold cross-validation. LightGBM achieves the top ROC-AUC of 0.9548 (±0.0023), combining the best mean with the lowest cross-fold variance; Deep MLP follows narrowly at 0.9542. Spectral-flatness standard deviation ranks first in feature importance. A Youden-J optimised decision threshold of θ* = 0.4316 improves balanced accuracy over the default 0.5 cutoff. A Brier score of 0.083 confirms that the probability outputs are well calibrated. Diagnostic analysis shows an 8-14 point train-CV accuracy gap for all tree-based models and reveals that roughly 17 of the 47 features contribute no measurable accuracy.</w:t>
      </w:r>
    </w:p>
    <w:p>
      <w:pPr>
        <w:spacing w:before="160" w:after="40" w:line="240" w:lineRule="auto"/>
        <w:jc w:val="left"/>
        <w:keepNext/>
      </w:pPr>
      <w:r>
        <w:rPr>
          <w:rFonts w:ascii="Times New Roman" w:hAnsi="Times New Roman" w:cs="Times New Roman" w:eastAsia="Times New Roman"/>
          <w:b/>
          <w:i/>
          <w:color w:val="333333"/>
          <w:sz w:val="17"/>
        </w:rPr>
        <w:t>Keywords</w:t>
      </w:r>
    </w:p>
    <w:p>
      <w:pPr>
        <w:spacing w:line="240" w:lineRule="auto" w:before="0" w:after="120"/>
        <w:ind w:firstLine="283"/>
        <w:jc w:val="both"/>
      </w:pPr>
      <w:r>
        <w:rPr>
          <w:rFonts w:ascii="Times New Roman" w:hAnsi="Times New Roman" w:cs="Times New Roman" w:eastAsia="Times New Roman"/>
          <w:b w:val="0"/>
          <w:i w:val="0"/>
          <w:color w:val="333333"/>
          <w:sz w:val="17"/>
        </w:rPr>
        <w:t>AI-generated music · Deep learning · Gradient boosting · Ensemble learning · Audio classification · Spectral flatness</w:t>
      </w:r>
    </w:p>
    <w:p>
      <w:pPr>
        <w:sectPr>
          <w:pgSz w:w="11906" w:h="16838"/>
          <w:pgMar w:top="1582" w:right="850" w:bottom="278" w:left="850" w:header="720" w:footer="720" w:gutter="0"/>
          <w:cols w:space="720"/>
          <w:docGrid w:linePitch="360"/>
        </w:sectPr>
      </w:pPr>
    </w:p>
    <w:p>
      <w:pPr>
        <w:spacing w:before="240" w:after="80" w:line="240" w:lineRule="auto"/>
        <w:jc w:val="left"/>
        <w:keepNext/>
      </w:pPr>
      <w:r>
        <w:rPr>
          <w:rFonts w:ascii="Times New Roman" w:hAnsi="Times New Roman" w:cs="Times New Roman" w:eastAsia="Times New Roman"/>
          <w:b/>
          <w:i w:val="0"/>
          <w:color w:val="333333"/>
          <w:sz w:val="17"/>
        </w:rPr>
        <w:t>1. Giriş (Introduction)</w:t>
      </w:r>
    </w:p>
    <w:p>
      <w:pPr>
        <w:spacing w:line="240" w:lineRule="auto" w:before="0" w:after="120"/>
        <w:ind w:firstLine="283"/>
        <w:jc w:val="both"/>
      </w:pPr>
      <w:r>
        <w:rPr>
          <w:rFonts w:ascii="Times New Roman" w:hAnsi="Times New Roman" w:cs="Times New Roman" w:eastAsia="Times New Roman"/>
          <w:b w:val="0"/>
          <w:i w:val="0"/>
          <w:color w:val="333333"/>
          <w:sz w:val="17"/>
        </w:rPr>
        <w:t>Üretken Yapay Zekâ (Generative Artificial Intelligence-GenAI) sistemlerinin son üç yıl içerisinde araştırma laboratuvarlarından tüketici uygulamalarına doğru yaşadığı hızlı geçiş, metinden müziğe (text-to-music) üretim alanında belirgin bir dönüşümü beraberinde getirmiştir. Suno (sürüm 3-5), Udio, Meta tarafından geliştirilen MusicGen [1] sistemi ve AudioLDM [2] gibi difüzyon tabanlı modeller, kullanıcının sağladığı kısa bir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birçok kritik konuyu doğrudan etkilemektedir.</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(audio deepfake detection), ADD 2022 [3] yarışmaları ve WaveFake [4] gibi büyük ölçekli veri kümeleri sayesinde aktif bir araştırma alanı hâline gelmiştir. Buna karşın, GenAI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[5,6], alanın henüz oluşum aşamasında olduğunu belirtmekte ve üretici modeller arası genellemeyi -yani eğitim aşamasında görülmemiş sistemler tarafından üretilen parçaları doğru biçimde tespit edebilme yetisini- alanın birincil açık problemi olarak vurgulamaktadır [5].</w:t>
      </w:r>
    </w:p>
    <w:p>
      <w:pPr>
        <w:spacing w:line="240" w:lineRule="auto" w:before="0" w:after="120"/>
        <w:ind w:firstLine="283"/>
        <w:jc w:val="both"/>
      </w:pPr>
      <w:r>
        <w:rPr>
          <w:rFonts w:ascii="Times New Roman" w:hAnsi="Times New Roman" w:cs="Times New Roman" w:eastAsia="Times New Roman"/>
          <w:b w:val="0"/>
          <w:i w:val="0"/>
          <w:color w:val="333333"/>
          <w:sz w:val="17"/>
        </w:rPr>
        <w:t>Yakın tarihli iki örnek çalışma, bu alandaki dengesizliği açık biçimde yansıtmaktadır. Afchar vd. tarafından öne sürülen çalışmada [7], oto-kodlayıcı (auto-encoder) artefaktlarını tanımak amacıyla eğitilen bir tespit sisteminin, nöral vokoderlerin (neural vocoder) bıraktığı spektral kalıntıları kullanarak %99,8 doğruluk değerine ulaşabildiği gösterilmiştir; ancak aynı sistemin, MP3 sıkıştırma ve perde kaydırma (pitch shifting) gibi basit ses manipülasyonları altında performansının ciddi biçimde düştüğü raporlanmıştır. Kim ve Go [8] ise kısa müzik segmentlerini önceden eğitilmiş bir kodlayıcı ile gömüp bunları bir Dönüştürücü (Transformer) başlığı ile birleştirerek bir müzik parçasının tamamındaki yapısal örüntüleri yakalayan Segment Transformer modelini önermiştir. Her iki yaklaşım da aynı temel kabulü paylaşmaktadır: hiçbir tek öznitelik ailesi tek başına farklı üretici sistemlere karşı yeterince sağlam değildir.</w:t>
      </w:r>
    </w:p>
    <w:p>
      <w:pPr>
        <w:spacing w:line="240" w:lineRule="auto" w:before="0" w:after="120"/>
        <w:ind w:firstLine="283"/>
        <w:jc w:val="both"/>
      </w:pPr>
      <w:r>
        <w:rPr>
          <w:rFonts w:ascii="Times New Roman" w:hAnsi="Times New Roman" w:cs="Times New Roman" w:eastAsia="Times New Roman"/>
          <w:b w:val="0"/>
          <w:i w:val="0"/>
          <w:color w:val="333333"/>
          <w:sz w:val="17"/>
        </w:rPr>
        <w:t>Bu çalışmada önerilen AURIS sistemi, söz konusu iki uç arasında dengeli bir konumda yer almaktadır. Sistem, tek bir temsile bağlı kalmak yerine; spektral, zamansal, harmonik ve vokal davranışı özetleyen 47 boyutlu elle tasarlanmış bir öznitelik vektörü ile kasıtlı biçimde heterojen on bir sınıflandırıcıdan oluşan bir topluluğu birleştirmektedir. Bu yaklaşımın amacı iki yönlüdür: (𝑖) birden çok GenAI üreticisi sisteminde rekabetçi tespit doğruluğu elde edebilmek ve (𝑖𝑖) tüketici donanımı üzerinde konuşlandırılabilir, yorumlanabilir ve güvenilir bir model elde edebilmek. Bu çalışmanın temel katkıları şu şekilde özetlenebilir:</w:t>
      </w:r>
    </w:p>
    <w:p>
      <w:pPr>
        <w:spacing w:after="120"/>
        <w:ind w:left="283"/>
        <w:jc w:val="both"/>
      </w:pPr>
      <w:r>
        <w:rPr>
          <w:rFonts w:ascii="Times New Roman" w:hAnsi="Times New Roman" w:cs="Times New Roman" w:eastAsia="Times New Roman"/>
          <w:b w:val="0"/>
          <w:i w:val="0"/>
          <w:color w:val="333333"/>
          <w:sz w:val="17"/>
        </w:rPr>
        <w:t>(𝑖) Suno, Udio, MusicGen, AudioLDM2 ve diğer altı üretici sistem dahil olmak üzere on iki GenAI üreticisinden ve birden çok insan kaynağından (GTZAN, FMA, SleepyJesse kapakları) derlenen 5.195 örneklik, halka açık ve çoğaltılabilir nitelikte bir veri kümesinin oluşturulması;</w:t>
      </w:r>
    </w:p>
    <w:p>
      <w:pPr>
        <w:spacing w:after="120"/>
        <w:ind w:left="283"/>
        <w:jc w:val="both"/>
      </w:pPr>
      <w:r>
        <w:rPr>
          <w:rFonts w:ascii="Times New Roman" w:hAnsi="Times New Roman" w:cs="Times New Roman" w:eastAsia="Times New Roman"/>
          <w:b w:val="0"/>
          <w:i w:val="0"/>
          <w:color w:val="333333"/>
          <w:sz w:val="17"/>
        </w:rPr>
        <w:t>(𝑖𝑖) Yedi ML algoritmasının (Lojistik Regresyon, Rastgele Orman, Gradyan Artırma, Destek Vektör Makineleri (Support Vector Machines-SVM), Çok Katmanlı Algılayıcı (Multi-Layer Perceptron-MLP), XGBoost [9] ve LightGBM [10]) ve dört DL mimarisinin (DMLP, Tek Boyutlu Evrişimli Sinir Ağı (One-Dimensional Convolutional Neural Network-1B-ESA), Artık MLP (Residual MLP), Dikkat MLP (Attention MLP)) ortak bir 5-katlı çapraz doğrulama protokolü altında karşılaştırmalı olarak değerlendirilmesi; değerlendirme sonucunda LightGBM modelinin %95,48 ROC-AUC değeri ve katlar-arası ±0,0023 standart sapma ile en başarılı sonucu sağladığının gösterilmesi;</w:t>
      </w:r>
    </w:p>
    <w:p>
      <w:pPr>
        <w:spacing w:after="120"/>
        <w:ind w:left="283"/>
        <w:jc w:val="both"/>
      </w:pPr>
      <w:r>
        <w:rPr>
          <w:rFonts w:ascii="Times New Roman" w:hAnsi="Times New Roman" w:cs="Times New Roman" w:eastAsia="Times New Roman"/>
          <w:b w:val="0"/>
          <w:i w:val="0"/>
          <w:color w:val="333333"/>
          <w:sz w:val="17"/>
        </w:rPr>
        <w:t>(𝑖𝑖𝑖) Spektral düzlük standart sapması özniteliğinin, yapay zekâ ile insan müziği ayrımı için en bilgilendirici öznitelik olduğunu gösteren Shapley Katma Açıklamaları (Shapley Additive exPlanations-SHAP) [11] tabanlı bir yorumlanabilirlik analizinin sunulması; elde edilen bu sonucun, GenAI tarafından üretilen ses ile kaydedilmiş ses arasındaki spektral fark üzerinden açıklanabilir olduğunun tartışılması.</w:t>
      </w:r>
    </w:p>
    <w:p>
      <w:pPr>
        <w:spacing w:line="240" w:lineRule="auto" w:before="0" w:after="120"/>
        <w:ind w:firstLine="283"/>
        <w:jc w:val="both"/>
      </w:pPr>
      <w:r>
        <w:rPr>
          <w:rFonts w:ascii="Times New Roman" w:hAnsi="Times New Roman" w:cs="Times New Roman" w:eastAsia="Times New Roman"/>
          <w:b w:val="0"/>
          <w:i w:val="0"/>
          <w:color w:val="333333"/>
          <w:sz w:val="17"/>
        </w:rPr>
        <w:t>Bu makalenin geri kalanı şu şekilde yapılandırılmıştır: 1.1-1.5 alt bölümleri kapsamında ses derin sahte tespiti, Dönüştürücü tabanlı ses temsilleri, ses sınıflandırma için topluluk yöntemleri ve GenAI müzik tespiti alanındaki güncel literatür kapsamlı biçimde gözden geçirilmektedir. 2. Bölümde önerilen sistemin geliştirilmesi sürecinde kullanılan veri kümesi, öznitelik çıkarma boru hattı, on bir sınıflandırma modeli ve eğitim protokolü ayrıntılı olarak açıklanmaktadır. 3. Bölümde deneysel sonuçlar tüm modeller üzerinde karşılaştırmalı biçimde sunulmakta; öznitelik önemi, kalibrasyon ve modelin sınırlamaları üzerine tartışmalar yapılmaktadır. Son olarak 4. Bölüm, çalışmanın temel bulgularını özetleyerek gelecek araştırmalar için öngörülen yönleri belirtmektedir. Önerilen sistem, https://huggingface.co/spaces/Rtur2003/AURIS adresinde halka açık olarak kullanıma sunulmuştur.</w:t>
      </w:r>
    </w:p>
    <w:p>
      <w:pPr>
        <w:spacing w:before="160" w:after="40" w:line="240" w:lineRule="auto"/>
        <w:jc w:val="left"/>
        <w:keepNext/>
      </w:pPr>
      <w:r>
        <w:rPr>
          <w:rFonts w:ascii="Times New Roman" w:hAnsi="Times New Roman" w:cs="Times New Roman" w:eastAsia="Times New Roman"/>
          <w:b/>
          <w:i/>
          <w:color w:val="333333"/>
          <w:sz w:val="17"/>
        </w:rPr>
        <w:t>1.1. Konuşma için Ses Derin Sahte Tespiti (Audio Deepfake Detection for Speech)</w:t>
      </w:r>
    </w:p>
    <w:p>
      <w:pPr>
        <w:spacing w:line="240" w:lineRule="auto" w:before="0" w:after="120"/>
        <w:ind w:firstLine="283"/>
        <w:jc w:val="both"/>
      </w:pPr>
      <w:r>
        <w:rPr>
          <w:rFonts w:ascii="Times New Roman" w:hAnsi="Times New Roman" w:cs="Times New Roman" w:eastAsia="Times New Roman"/>
          <w:b w:val="0"/>
          <w:i w:val="0"/>
          <w:color w:val="333333"/>
          <w:sz w:val="17"/>
        </w:rPr>
        <w:t>Konuşma için ses derin sahte tespiti, GenAI ile üretilen müzik tespiti çalışmaları açısından doğrudan örnek alınan en olgun komşu alanı oluşturmaktadır. Yi vd. tarafından öne sürülen ADD 2022 [3] yarışmasında, bu alan resmî biçimde bir topluluk değerlendirme problemi olarak kurulmuş ve düşük kaliteli sahte ses (LF), kısmî sahte ses (PF) ile oyun tabanlı algılama (FG) olmak üzere üç ayrı parça tanımlanmıştır. Martín-Doñas ve Álvarez tarafından öne sürülen Vicomtech sistemi [12], önceden eğitilmiş wav2vec2 [13] öznitelik çıkarıcısının üzerine bir sınıflandırma başlığı yerleştirerek bu yarışmada güçlü bir performans elde etmiştir. Yi vd. [6] tarafından yürütülen kapsamlı bir tarama çalışmasında, alanın hem teknik hem de etik zorlukları ayrıntılı biçimde özetlenmiştir. Bunun yanı sıra, Frank ve Schönherr tarafından öne sürülen WaveFake [4] gibi büyük ölçekli veri kümeleri, vokoder-spesifik artefaktların tespit edilebilirliğinin sistematik biçimde incelenmesi için altyapı oluşturmuştur.</w:t>
      </w:r>
    </w:p>
    <w:p>
      <w:pPr>
        <w:spacing w:before="160" w:after="40" w:line="240" w:lineRule="auto"/>
        <w:jc w:val="left"/>
        <w:keepNext/>
      </w:pPr>
      <w:r>
        <w:rPr>
          <w:rFonts w:ascii="Times New Roman" w:hAnsi="Times New Roman" w:cs="Times New Roman" w:eastAsia="Times New Roman"/>
          <w:b/>
          <w:i/>
          <w:color w:val="333333"/>
          <w:sz w:val="17"/>
        </w:rPr>
        <w:t>1.2. Dönüştürücü Tabanlı Ses Temsilleri (Transformer-Based Audio Representations)</w:t>
      </w:r>
    </w:p>
    <w:p>
      <w:pPr>
        <w:spacing w:line="240" w:lineRule="auto" w:before="0" w:after="120"/>
        <w:ind w:firstLine="283"/>
        <w:jc w:val="both"/>
      </w:pPr>
      <w:r>
        <w:rPr>
          <w:rFonts w:ascii="Times New Roman" w:hAnsi="Times New Roman" w:cs="Times New Roman" w:eastAsia="Times New Roman"/>
          <w:b w:val="0"/>
          <w:i w:val="0"/>
          <w:color w:val="333333"/>
          <w:sz w:val="17"/>
        </w:rPr>
        <w:t>Dönüştürücü temelli ve kendi kendini denetimli (self-supervised) ses temsilleri, son beş yıl içerisinde geleneksel akustik öznitelik mühendisliğinin önemli bir alternatifi hâline gelmiştir. Baevski vd. tarafından öne sürülen çalışmada [13], ham ses sinyalinden ince ayar gerektirmeyen öznitelikler üreten wav2vec 2.0 mimarisi sunulmuştur. Elizalde vd. tarafından geliştirilen CLAP (Contrastive Language-Audio Pretraining) [14] yöntemi, karşıt öğrenme (contrastive learning) yaklaşımı ile ses ve metin temsillerini ortak bir gömü uzayında hizalamaktadır. Söz konusu çalışma, Wu vd. tarafından öne sürülen büyük ölçekli CLAP varyantında [15] genişletilmiş ve 633.526 ses-metin çiftinden öğrenilmiş daha güçlü bir model elde edilmiştir. Bu modeller doğrudan tespit için kullanılmasa da, ileri görevler için sağlam bir temel oluşturmaktadır.</w:t>
      </w:r>
    </w:p>
    <w:p>
      <w:pPr>
        <w:spacing w:before="160" w:after="40" w:line="240" w:lineRule="auto"/>
        <w:jc w:val="left"/>
        <w:keepNext/>
      </w:pPr>
      <w:r>
        <w:rPr>
          <w:rFonts w:ascii="Times New Roman" w:hAnsi="Times New Roman" w:cs="Times New Roman" w:eastAsia="Times New Roman"/>
          <w:b/>
          <w:i/>
          <w:color w:val="333333"/>
          <w:sz w:val="17"/>
        </w:rPr>
        <w:t>1.3. Ses İçin Topluluk Yöntemleri ve Gradyan Artırma (Ensemble Methods and Gradient Boosting for Audio)</w:t>
      </w:r>
    </w:p>
    <w:p>
      <w:pPr>
        <w:spacing w:line="240" w:lineRule="auto" w:before="0" w:after="120"/>
        <w:ind w:firstLine="283"/>
        <w:jc w:val="both"/>
      </w:pPr>
      <w:r>
        <w:rPr>
          <w:rFonts w:ascii="Times New Roman" w:hAnsi="Times New Roman" w:cs="Times New Roman" w:eastAsia="Times New Roman"/>
          <w:b w:val="0"/>
          <w:i w:val="0"/>
          <w:color w:val="333333"/>
          <w:sz w:val="17"/>
        </w:rPr>
        <w:t>Topluluk öğrenmesi (ensemble learning) yöntemleri, ses sınıflandırma alanında istikrarlı biçimde rekabetçi sonuçlar üretmektedir. Liu vd. tarafından öne sürülen çalışmada [16], XGBoost tabanlı bir müzikal enstrüman tanıma sisteminin çoklu öznitelik füzyonu ile yüksek doğruluğa ulaşabildiği gösterilmiştir. Gan vd. [17], Değişken Mod Ayrıştırması (Variational Mode Decomposition-VMD) ve Geliştirilmiş Balina Optimizasyon Algoritması (Improved Whale Optimization Algorithm-IWOA) ile zenginleştirilen XGBoost modelinin (VMD-IWOA-XGBoost) GTZAN ve Bangla veri kümeleri üzerinde diğer modelleri beş değerlendirme kriterinde geride bıraktığını raporlamıştır. Türkçe literatür kapsamında, Hızlısoy ve Tüfekci [18] derin öğrenme tabanlı bir mimari ile Türkçe müziklerin tür sınıflandırması üzerinde çalışmış ve yeni bir Türkçe müzik veri tabanı oluşturmuşlardır. Özbalcı vd. [19], GTZAN veri kümesi üzerinde Rastgele Orman, SVM ve Yapay Sinir Ağı (Artificial Neural Network-YSA) algoritmalarını karşılaştırmalı olarak değerlendirmiş ve Rastgele Orman algoritması ile %81 doğruluk değerine ulaşmıştır. Turan ve Polat [20] ise yarı denetimli (semi-supervised) makine öğrenmesi yöntemlerini kullanarak müzik türlerinin tespiti üzerine bir çalışma sunmuşlardır. Kostrzewa vd. tarafından öne sürülen geniş sinir ağı toplulukları yaklaşımı [21], müzik tür sınıflandırmasında tek modellere kıyasla daha yüksek bir performans göstermiştir. Gourisaria vd. [22], Mel Frekans Kepstral Katsayıları (Mel Frequency Cepstral Coefficients-MFCC) ile Kısa Süreli Fourier Dönüşümü (Short-Time Fourier Transform-STFT) özniteliklerini karşılaştırmalı olarak inceleyerek ses sınıflandırması için en uygun temsil yöntemini araştırmışlardır.</w:t>
      </w:r>
    </w:p>
    <w:p>
      <w:pPr>
        <w:spacing w:before="160" w:after="40" w:line="240" w:lineRule="auto"/>
        <w:jc w:val="left"/>
        <w:keepNext/>
      </w:pPr>
      <w:r>
        <w:rPr>
          <w:rFonts w:ascii="Times New Roman" w:hAnsi="Times New Roman" w:cs="Times New Roman" w:eastAsia="Times New Roman"/>
          <w:b/>
          <w:i/>
          <w:color w:val="333333"/>
          <w:sz w:val="17"/>
        </w:rPr>
        <w:t>1.4. GenAI Müzik Üretici Sistemleri (GenAI Music Generation Systems)</w:t>
      </w:r>
    </w:p>
    <w:p>
      <w:pPr>
        <w:spacing w:line="240" w:lineRule="auto" w:before="0" w:after="120"/>
        <w:ind w:firstLine="283"/>
        <w:jc w:val="both"/>
      </w:pPr>
      <w:r>
        <w:rPr>
          <w:rFonts w:ascii="Times New Roman" w:hAnsi="Times New Roman" w:cs="Times New Roman" w:eastAsia="Times New Roman"/>
          <w:b w:val="0"/>
          <w:i w:val="0"/>
          <w:color w:val="333333"/>
          <w:sz w:val="17"/>
        </w:rPr>
        <w:t>GenAI müzik üretim sistemleri, tespit problemini doğrudan şekillendiren teknik çeşitliliği yansıtmaktadır. Copet vd. tarafından geliştirilen MusicGen [1] sistemi, metne koşullu sıkıştırılmış ses andıçları (audio tokens) üzerinde çalışan tek aşamalı bir Dönüştürücü dil modeli kullanmaktadır. Liu vd. tarafından öne sürülen AudioLDM [2] ise metinden sese üretim için CLAP gömmelerini koşullandırma sinyali olarak kullanan bir gizil difüzyon modelidir (latent diffusion model). Suno ve Udio gibi ticari ürünler altta yatan mimarilerini kamuoyu ile paylaşmamıştır; ancak çıktılarının sürümler arasında ölçülen spektral özellikleri, dağılımsal olarak gözlemlenebilir tutarlı bir iz bırakmaktadır.</w:t>
      </w:r>
    </w:p>
    <w:p>
      <w:pPr>
        <w:spacing w:before="160" w:after="40" w:line="240" w:lineRule="auto"/>
        <w:jc w:val="left"/>
        <w:keepNext/>
      </w:pPr>
      <w:r>
        <w:rPr>
          <w:rFonts w:ascii="Times New Roman" w:hAnsi="Times New Roman" w:cs="Times New Roman" w:eastAsia="Times New Roman"/>
          <w:b/>
          <w:i/>
          <w:color w:val="333333"/>
          <w:sz w:val="17"/>
        </w:rPr>
        <w:t>1.5. GenAI Müzik Tespitinde Güncel Gelişmeler (2024-2025) (Recent Advances in GenAI Music Detection (2024-2025))</w:t>
      </w:r>
    </w:p>
    <w:p>
      <w:pPr>
        <w:spacing w:line="240" w:lineRule="auto" w:before="0" w:after="120"/>
        <w:ind w:firstLine="283"/>
        <w:jc w:val="both"/>
      </w:pPr>
      <w:r>
        <w:rPr>
          <w:rFonts w:ascii="Times New Roman" w:hAnsi="Times New Roman" w:cs="Times New Roman" w:eastAsia="Times New Roman"/>
          <w:b w:val="0"/>
          <w:i w:val="0"/>
          <w:color w:val="333333"/>
          <w:sz w:val="17"/>
        </w:rPr>
        <w:t>Bu alandaki en doğrudan ilgili çalışmalar 2024-2025 yılları arasında yayımlanmıştır. Li vd. [5] ses derin sahte tespiti metodolojisini gelişmekte olan GenAI müzik tespiti alanına bağlayan bir yol haritası ve genel bakış sunmuş; aktarılabilir öznitelikleri katalogladıkları aynı çalışmada üretici modeller arası genellemenin alanın birincil açık problemi olduğunu vurgulamışlardır. Afchar vd. tarafından öne sürülen ICASSP 2025 çalışmasında [7], oto-kodlayıcı artefaktları üzerinde eğitilen tespit sistemlerinin nöral vokoderlerin spektral artıkları sayesinde %99,8 doğruluk değerine ulaşabileceği gösterilmiştir. Kim ve Go tarafından öne sürülen Segment Transformer [8], kısa müzik segmentlerini bir Dönüştürücü başlığı ile işleyen ve kendi kendini denetimli önceden eğitilmiş temsilleri yapısal örüntülerin yakalanması amacıyla entegre eden bir mimari sunmaktadır. Rahman vd. tarafından geliştirilen SONICS veri kümesi [23], 97.000'den fazla şarkı ve 49.000'den fazla Suno/Udio kaynaklı sentetik şarkı içermekte olup uçtan-uca sentetik şarkı tespiti için geniş ölçekli bir referans kıyaslama oluşturmaktadır. Comanducci vd. [24] tarafından geliştirilen FakeMusicCaps veri kümesi, beş farklı metinden-müziğe modeli ile yeniden üretilmiş MusicCaps eşlemelerinden oluşmakta ve hem tespit hem de atıflandırma deneyleri için bir temel sağlamaktadır. Pascu vd. tarafından öne sürülen Echoes [25] veri kümesi, on farklı popüler GenAI müzik üretim sistemi tarafından üretilen anlamsal-hizalı içeriği kapsamaktadır. Sunday [26] FakeMusicCaps üzerinde CNN tabanlı tespit yaklaşımının tempo gerdirme ve perde kaydırma altındaki performansını ölçmüştür; Sroka vd. tarafından öne sürülen çalışmada [27] ise ses büyütmeleri (audio augmentations) altında sahte müzik tespit performansının sistematik biçimde değerlendirilmesi gerçekleştirilmiştir. Bu çalışmaların ortak bulgusu şu şekilde özetlenebilir: hiçbir tek mimari ailesi, hem üretici modeller arası genellemeyi hem de düşmanca güçlendirilmiş sinyallere karşı sağlamlığı tek başına sağlayamamaktadır. AURIS ile karşılaştırma amacıyla ilgili çalışmaların genel bakışı Tablo 1'de sunulmuştur.</w:t>
      </w:r>
    </w:p>
    <w:p>
      <w:pPr>
        <w:spacing w:before="160" w:after="0"/>
        <w:jc w:val="center"/>
        <w:keepNext/>
      </w:pPr>
      <w:r>
        <w:rPr>
          <w:rFonts w:ascii="Times New Roman" w:hAnsi="Times New Roman" w:cs="Times New Roman" w:eastAsia="Times New Roman"/>
          <w:b/>
          <w:i w:val="0"/>
          <w:color w:val="333333"/>
          <w:sz w:val="17"/>
        </w:rPr>
        <w:t>Tablo 1. Yapay zekâ müzik tespiti alanındaki ilgili çalışmaların genel bakışı</w:t>
      </w:r>
    </w:p>
    <w:p>
      <w:pPr>
        <w:spacing w:before="0" w:after="40"/>
        <w:jc w:val="center"/>
        <w:keepNext/>
      </w:pPr>
      <w:r>
        <w:rPr>
          <w:rFonts w:ascii="Times New Roman" w:hAnsi="Times New Roman" w:cs="Times New Roman" w:eastAsia="Times New Roman"/>
          <w:b w:val="0"/>
          <w:i/>
          <w:color w:val="333333"/>
          <w:sz w:val="17"/>
        </w:rPr>
        <w:t>(Overview of related works in AI-generated music detection)</w:t>
      </w:r>
    </w:p>
    <w:tbl>
      <w:tblPr>
        <w:tblStyle w:val="TableGrid"/>
        <w:tblW w:type="auto" w:w="0"/>
        <w:tblLook w:firstColumn="1" w:firstRow="1" w:lastColumn="0" w:lastRow="0" w:noHBand="0" w:noVBand="1" w:val="04A0"/>
      </w:tblPr>
      <w:tblGrid>
        <w:gridCol w:w="2041"/>
        <w:gridCol w:w="2041"/>
        <w:gridCol w:w="2041"/>
        <w:gridCol w:w="2041"/>
        <w:gridCol w:w="2041"/>
      </w:tblGrid>
      <w:tr>
        <w:tc>
          <w:tcPr>
            <w:tcW w:type="dxa" w:w="2041"/>
            <w:shd w:val="clear" w:color="auto" w:fill="C99347"/>
          </w:tcPr>
          <w:p>
            <w:pPr>
              <w:jc w:val="center"/>
            </w:pPr>
            <w:r/>
            <w:r>
              <w:rPr>
                <w:rFonts w:ascii="Times New Roman" w:hAnsi="Times New Roman" w:cs="Times New Roman" w:eastAsia="Times New Roman"/>
                <w:b/>
                <w:i w:val="0"/>
                <w:color w:val="FFFFFF"/>
                <w:sz w:val="16"/>
              </w:rPr>
              <w:t>Çalışma</w:t>
            </w:r>
          </w:p>
        </w:tc>
        <w:tc>
          <w:tcPr>
            <w:tcW w:type="dxa" w:w="2041"/>
            <w:shd w:val="clear" w:color="auto" w:fill="C99347"/>
          </w:tcPr>
          <w:p>
            <w:pPr>
              <w:jc w:val="center"/>
            </w:pPr>
            <w:r/>
            <w:r>
              <w:rPr>
                <w:rFonts w:ascii="Times New Roman" w:hAnsi="Times New Roman" w:cs="Times New Roman" w:eastAsia="Times New Roman"/>
                <w:b/>
                <w:i w:val="0"/>
                <w:color w:val="FFFFFF"/>
                <w:sz w:val="16"/>
              </w:rPr>
              <w:t>Veri Kümesi</w:t>
            </w:r>
          </w:p>
        </w:tc>
        <w:tc>
          <w:tcPr>
            <w:tcW w:type="dxa" w:w="2041"/>
            <w:shd w:val="clear" w:color="auto" w:fill="C99347"/>
          </w:tcPr>
          <w:p>
            <w:pPr>
              <w:jc w:val="center"/>
            </w:pPr>
            <w:r/>
            <w:r>
              <w:rPr>
                <w:rFonts w:ascii="Times New Roman" w:hAnsi="Times New Roman" w:cs="Times New Roman" w:eastAsia="Times New Roman"/>
                <w:b/>
                <w:i w:val="0"/>
                <w:color w:val="FFFFFF"/>
                <w:sz w:val="16"/>
              </w:rPr>
              <w:t>Kullanılan Metot(lar)</w:t>
            </w:r>
          </w:p>
        </w:tc>
        <w:tc>
          <w:tcPr>
            <w:tcW w:type="dxa" w:w="2041"/>
            <w:shd w:val="clear" w:color="auto" w:fill="C99347"/>
          </w:tcPr>
          <w:p>
            <w:pPr>
              <w:jc w:val="center"/>
            </w:pPr>
            <w:r/>
            <w:r>
              <w:rPr>
                <w:rFonts w:ascii="Times New Roman" w:hAnsi="Times New Roman" w:cs="Times New Roman" w:eastAsia="Times New Roman"/>
                <w:b/>
                <w:i w:val="0"/>
                <w:color w:val="FFFFFF"/>
                <w:sz w:val="16"/>
              </w:rPr>
              <w:t>Değerlendirme</w:t>
            </w:r>
          </w:p>
        </w:tc>
        <w:tc>
          <w:tcPr>
            <w:tcW w:type="dxa" w:w="2041"/>
            <w:shd w:val="clear" w:color="auto" w:fill="C99347"/>
          </w:tcPr>
          <w:p>
            <w:pPr>
              <w:jc w:val="center"/>
            </w:pPr>
            <w:r/>
            <w:r>
              <w:rPr>
                <w:rFonts w:ascii="Times New Roman" w:hAnsi="Times New Roman" w:cs="Times New Roman" w:eastAsia="Times New Roman"/>
                <w:b/>
                <w:i w:val="0"/>
                <w:color w:val="FFFFFF"/>
                <w:sz w:val="16"/>
              </w:rPr>
              <w:t>En İyi Sonuç</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Afchar vd. [7]</w:t>
            </w:r>
          </w:p>
        </w:tc>
        <w:tc>
          <w:tcPr>
            <w:tcW w:type="dxa" w:w="2041"/>
            <w:shd w:val="clear" w:color="auto" w:fill="FFFFFF"/>
          </w:tcPr>
          <w:p>
            <w:pPr>
              <w:jc w:val="center"/>
            </w:pPr>
            <w:r/>
            <w:r>
              <w:rPr>
                <w:rFonts w:ascii="Times New Roman" w:hAnsi="Times New Roman" w:cs="Times New Roman" w:eastAsia="Times New Roman"/>
                <w:b w:val="0"/>
                <w:i w:val="0"/>
                <w:color w:val="333333"/>
                <w:sz w:val="16"/>
              </w:rPr>
              <w:t>Özel (Suno + insan)</w:t>
            </w:r>
          </w:p>
        </w:tc>
        <w:tc>
          <w:tcPr>
            <w:tcW w:type="dxa" w:w="2041"/>
            <w:shd w:val="clear" w:color="auto" w:fill="FFFFFF"/>
          </w:tcPr>
          <w:p>
            <w:pPr>
              <w:jc w:val="center"/>
            </w:pPr>
            <w:r/>
            <w:r>
              <w:rPr>
                <w:rFonts w:ascii="Times New Roman" w:hAnsi="Times New Roman" w:cs="Times New Roman" w:eastAsia="Times New Roman"/>
                <w:b w:val="0"/>
                <w:i w:val="0"/>
                <w:color w:val="333333"/>
                <w:sz w:val="16"/>
              </w:rPr>
              <w:t>wav2vec2 + sınıflandırıcı başlık</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%99,8 (yumuşatılmamış)</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Kim ve Go [8]</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 + SONICS</w:t>
            </w:r>
          </w:p>
        </w:tc>
        <w:tc>
          <w:tcPr>
            <w:tcW w:type="dxa" w:w="2041"/>
            <w:shd w:val="clear" w:color="auto" w:fill="F5F0E8"/>
          </w:tcPr>
          <w:p>
            <w:pPr>
              <w:jc w:val="center"/>
            </w:pPr>
            <w:r/>
            <w:r>
              <w:rPr>
                <w:rFonts w:ascii="Times New Roman" w:hAnsi="Times New Roman" w:cs="Times New Roman" w:eastAsia="Times New Roman"/>
                <w:b w:val="0"/>
                <w:i w:val="0"/>
                <w:color w:val="333333"/>
                <w:sz w:val="16"/>
              </w:rPr>
              <w:t>Segment Transformer (SSL + transformer)</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%91+ (segment)</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Rahman vd. [23]</w:t>
            </w:r>
          </w:p>
        </w:tc>
        <w:tc>
          <w:tcPr>
            <w:tcW w:type="dxa" w:w="2041"/>
            <w:shd w:val="clear" w:color="auto" w:fill="FFFFFF"/>
          </w:tcPr>
          <w:p>
            <w:pPr>
              <w:jc w:val="center"/>
            </w:pPr>
            <w:r/>
            <w:r>
              <w:rPr>
                <w:rFonts w:ascii="Times New Roman" w:hAnsi="Times New Roman" w:cs="Times New Roman" w:eastAsia="Times New Roman"/>
                <w:b w:val="0"/>
                <w:i w:val="0"/>
                <w:color w:val="333333"/>
                <w:sz w:val="16"/>
              </w:rPr>
              <w:t>SONICS (97K şarkı)</w:t>
            </w:r>
          </w:p>
        </w:tc>
        <w:tc>
          <w:tcPr>
            <w:tcW w:type="dxa" w:w="2041"/>
            <w:shd w:val="clear" w:color="auto" w:fill="FFFFFF"/>
          </w:tcPr>
          <w:p>
            <w:pPr>
              <w:jc w:val="center"/>
            </w:pPr>
            <w:r/>
            <w:r>
              <w:rPr>
                <w:rFonts w:ascii="Times New Roman" w:hAnsi="Times New Roman" w:cs="Times New Roman" w:eastAsia="Times New Roman"/>
                <w:b w:val="0"/>
                <w:i w:val="0"/>
                <w:color w:val="333333"/>
                <w:sz w:val="16"/>
              </w:rPr>
              <w:t>SpecTTTra (verimli transformer)</w:t>
            </w:r>
          </w:p>
        </w:tc>
        <w:tc>
          <w:tcPr>
            <w:tcW w:type="dxa" w:w="2041"/>
            <w:shd w:val="clear" w:color="auto" w:fill="FFFFFF"/>
          </w:tcPr>
          <w:p>
            <w:pPr>
              <w:jc w:val="center"/>
            </w:pPr>
            <w:r/>
            <w:r>
              <w:rPr>
                <w:rFonts w:ascii="Times New Roman" w:hAnsi="Times New Roman" w:cs="Times New Roman" w:eastAsia="Times New Roman"/>
                <w:b w:val="0"/>
                <w:i w:val="0"/>
                <w:color w:val="333333"/>
                <w:sz w:val="16"/>
              </w:rPr>
              <w:t>F1,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Rekabetçi, 6× daha az bellek</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Comanducci vd. [24]</w:t>
            </w:r>
          </w:p>
        </w:tc>
        <w:tc>
          <w:tcPr>
            <w:tcW w:type="dxa" w:w="2041"/>
            <w:shd w:val="clear" w:color="auto" w:fill="F5F0E8"/>
          </w:tcPr>
          <w:p>
            <w:pPr>
              <w:jc w:val="center"/>
            </w:pPr>
            <w:r/>
            <w:r>
              <w:rPr>
                <w:rFonts w:ascii="Times New Roman" w:hAnsi="Times New Roman" w:cs="Times New Roman" w:eastAsia="Times New Roman"/>
                <w:b w:val="0"/>
                <w:i w:val="0"/>
                <w:color w:val="333333"/>
                <w:sz w:val="16"/>
              </w:rPr>
              <w:t>FakeMusicCaps</w:t>
            </w:r>
          </w:p>
        </w:tc>
        <w:tc>
          <w:tcPr>
            <w:tcW w:type="dxa" w:w="2041"/>
            <w:shd w:val="clear" w:color="auto" w:fill="F5F0E8"/>
          </w:tcPr>
          <w:p>
            <w:pPr>
              <w:jc w:val="center"/>
            </w:pPr>
            <w:r/>
            <w:r>
              <w:rPr>
                <w:rFonts w:ascii="Times New Roman" w:hAnsi="Times New Roman" w:cs="Times New Roman" w:eastAsia="Times New Roman"/>
                <w:b w:val="0"/>
                <w:i w:val="0"/>
                <w:color w:val="333333"/>
                <w:sz w:val="16"/>
              </w:rPr>
              <w:t>CNN + MFCC</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5F0E8"/>
          </w:tcPr>
          <w:p>
            <w:pPr>
              <w:jc w:val="center"/>
            </w:pPr>
            <w:r/>
            <w:r>
              <w:rPr>
                <w:rFonts w:ascii="Times New Roman" w:hAnsi="Times New Roman" w:cs="Times New Roman" w:eastAsia="Times New Roman"/>
                <w:b w:val="0"/>
                <w:i w:val="0"/>
                <w:color w:val="333333"/>
                <w:sz w:val="16"/>
              </w:rPr>
              <w:t>İlk referans değerleri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Sunday [26]</w:t>
            </w:r>
          </w:p>
        </w:tc>
        <w:tc>
          <w:tcPr>
            <w:tcW w:type="dxa" w:w="2041"/>
            <w:shd w:val="clear" w:color="auto" w:fill="FFFFFF"/>
          </w:tcPr>
          <w:p>
            <w:pPr>
              <w:jc w:val="center"/>
            </w:pPr>
            <w:r/>
            <w:r>
              <w:rPr>
                <w:rFonts w:ascii="Times New Roman" w:hAnsi="Times New Roman" w:cs="Times New Roman" w:eastAsia="Times New Roman"/>
                <w:b w:val="0"/>
                <w:i w:val="0"/>
                <w:color w:val="333333"/>
                <w:sz w:val="16"/>
              </w:rPr>
              <w:t>FakeMusicCaps + ses büyütmeleri</w:t>
            </w:r>
          </w:p>
        </w:tc>
        <w:tc>
          <w:tcPr>
            <w:tcW w:type="dxa" w:w="2041"/>
            <w:shd w:val="clear" w:color="auto" w:fill="FFFFFF"/>
          </w:tcPr>
          <w:p>
            <w:pPr>
              <w:jc w:val="center"/>
            </w:pPr>
            <w:r/>
            <w:r>
              <w:rPr>
                <w:rFonts w:ascii="Times New Roman" w:hAnsi="Times New Roman" w:cs="Times New Roman" w:eastAsia="Times New Roman"/>
                <w:b w:val="0"/>
                <w:i w:val="0"/>
                <w:color w:val="333333"/>
                <w:sz w:val="16"/>
              </w:rPr>
              <w:t>CNN üzerinde Mel-spektrogram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w:t>
            </w:r>
          </w:p>
        </w:tc>
        <w:tc>
          <w:tcPr>
            <w:tcW w:type="dxa" w:w="2041"/>
            <w:shd w:val="clear" w:color="auto" w:fill="FFFFFF"/>
          </w:tcPr>
          <w:p>
            <w:pPr>
              <w:jc w:val="center"/>
            </w:pPr>
            <w:r/>
            <w:r>
              <w:rPr>
                <w:rFonts w:ascii="Times New Roman" w:hAnsi="Times New Roman" w:cs="Times New Roman" w:eastAsia="Times New Roman"/>
                <w:b w:val="0"/>
                <w:i w:val="0"/>
                <w:color w:val="333333"/>
                <w:sz w:val="16"/>
              </w:rPr>
              <w:t>Büyütmeler altında değişken</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Sroka vd. [27]</w:t>
            </w:r>
          </w:p>
        </w:tc>
        <w:tc>
          <w:tcPr>
            <w:tcW w:type="dxa" w:w="2041"/>
            <w:shd w:val="clear" w:color="auto" w:fill="F5F0E8"/>
          </w:tcPr>
          <w:p>
            <w:pPr>
              <w:jc w:val="center"/>
            </w:pPr>
            <w:r/>
            <w:r>
              <w:rPr>
                <w:rFonts w:ascii="Times New Roman" w:hAnsi="Times New Roman" w:cs="Times New Roman" w:eastAsia="Times New Roman"/>
                <w:b w:val="0"/>
                <w:i w:val="0"/>
                <w:color w:val="333333"/>
                <w:sz w:val="16"/>
              </w:rPr>
              <w:t>Birden çok kamuya açık veri</w:t>
            </w:r>
          </w:p>
        </w:tc>
        <w:tc>
          <w:tcPr>
            <w:tcW w:type="dxa" w:w="2041"/>
            <w:shd w:val="clear" w:color="auto" w:fill="F5F0E8"/>
          </w:tcPr>
          <w:p>
            <w:pPr>
              <w:jc w:val="center"/>
            </w:pPr>
            <w:r/>
            <w:r>
              <w:rPr>
                <w:rFonts w:ascii="Times New Roman" w:hAnsi="Times New Roman" w:cs="Times New Roman" w:eastAsia="Times New Roman"/>
                <w:b w:val="0"/>
                <w:i w:val="0"/>
                <w:color w:val="333333"/>
                <w:sz w:val="16"/>
              </w:rPr>
              <w:t>Çoklu mimari karşılaştırması</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F1</w:t>
            </w:r>
          </w:p>
        </w:tc>
        <w:tc>
          <w:tcPr>
            <w:tcW w:type="dxa" w:w="2041"/>
            <w:shd w:val="clear" w:color="auto" w:fill="F5F0E8"/>
          </w:tcPr>
          <w:p>
            <w:pPr>
              <w:jc w:val="center"/>
            </w:pPr>
            <w:r/>
            <w:r>
              <w:rPr>
                <w:rFonts w:ascii="Times New Roman" w:hAnsi="Times New Roman" w:cs="Times New Roman" w:eastAsia="Times New Roman"/>
                <w:b w:val="0"/>
                <w:i w:val="0"/>
                <w:color w:val="333333"/>
                <w:sz w:val="16"/>
              </w:rPr>
              <w:t>Sağlamlık-doğruluk dengesi</w:t>
            </w:r>
          </w:p>
        </w:tc>
      </w:tr>
      <w:tr>
        <w:tc>
          <w:tcPr>
            <w:tcW w:type="dxa" w:w="2041"/>
            <w:shd w:val="clear" w:color="auto" w:fill="FFFFFF"/>
          </w:tcPr>
          <w:p>
            <w:pPr>
              <w:jc w:val="center"/>
            </w:pPr>
            <w:r/>
            <w:r>
              <w:rPr>
                <w:rFonts w:ascii="Times New Roman" w:hAnsi="Times New Roman" w:cs="Times New Roman" w:eastAsia="Times New Roman"/>
                <w:b w:val="0"/>
                <w:i w:val="0"/>
                <w:color w:val="333333"/>
                <w:sz w:val="16"/>
              </w:rPr>
              <w:t>Pascu vd. [25]</w:t>
            </w:r>
          </w:p>
        </w:tc>
        <w:tc>
          <w:tcPr>
            <w:tcW w:type="dxa" w:w="2041"/>
            <w:shd w:val="clear" w:color="auto" w:fill="FFFFFF"/>
          </w:tcPr>
          <w:p>
            <w:pPr>
              <w:jc w:val="center"/>
            </w:pPr>
            <w:r/>
            <w:r>
              <w:rPr>
                <w:rFonts w:ascii="Times New Roman" w:hAnsi="Times New Roman" w:cs="Times New Roman" w:eastAsia="Times New Roman"/>
                <w:b w:val="0"/>
                <w:i w:val="0"/>
                <w:color w:val="333333"/>
                <w:sz w:val="16"/>
              </w:rPr>
              <w:t>Echoes (3577 parça)</w:t>
            </w:r>
          </w:p>
        </w:tc>
        <w:tc>
          <w:tcPr>
            <w:tcW w:type="dxa" w:w="2041"/>
            <w:shd w:val="clear" w:color="auto" w:fill="FFFFFF"/>
          </w:tcPr>
          <w:p>
            <w:pPr>
              <w:jc w:val="center"/>
            </w:pPr>
            <w:r/>
            <w:r>
              <w:rPr>
                <w:rFonts w:ascii="Times New Roman" w:hAnsi="Times New Roman" w:cs="Times New Roman" w:eastAsia="Times New Roman"/>
                <w:b w:val="0"/>
                <w:i w:val="0"/>
                <w:color w:val="333333"/>
                <w:sz w:val="16"/>
              </w:rPr>
              <w:t>Çoklu üretici sistem dahil eğitim</w:t>
            </w:r>
          </w:p>
        </w:tc>
        <w:tc>
          <w:tcPr>
            <w:tcW w:type="dxa" w:w="2041"/>
            <w:shd w:val="clear" w:color="auto" w:fill="FFFFFF"/>
          </w:tcPr>
          <w:p>
            <w:pPr>
              <w:jc w:val="center"/>
            </w:pPr>
            <w:r/>
            <w:r>
              <w:rPr>
                <w:rFonts w:ascii="Times New Roman" w:hAnsi="Times New Roman" w:cs="Times New Roman" w:eastAsia="Times New Roman"/>
                <w:b w:val="0"/>
                <w:i w:val="0"/>
                <w:color w:val="333333"/>
                <w:sz w:val="16"/>
              </w:rPr>
              <w:t>Doğruluk, AUC</w:t>
            </w:r>
          </w:p>
        </w:tc>
        <w:tc>
          <w:tcPr>
            <w:tcW w:type="dxa" w:w="2041"/>
            <w:shd w:val="clear" w:color="auto" w:fill="FFFFFF"/>
          </w:tcPr>
          <w:p>
            <w:pPr>
              <w:jc w:val="center"/>
            </w:pPr>
            <w:r/>
            <w:r>
              <w:rPr>
                <w:rFonts w:ascii="Times New Roman" w:hAnsi="Times New Roman" w:cs="Times New Roman" w:eastAsia="Times New Roman"/>
                <w:b w:val="0"/>
                <w:i w:val="0"/>
                <w:color w:val="333333"/>
                <w:sz w:val="16"/>
              </w:rPr>
              <w:t>Anlamsal-hizalı kıyaslama</w:t>
            </w:r>
          </w:p>
        </w:tc>
      </w:tr>
      <w:tr>
        <w:tc>
          <w:tcPr>
            <w:tcW w:type="dxa" w:w="2041"/>
            <w:shd w:val="clear" w:color="auto" w:fill="F5F0E8"/>
          </w:tcPr>
          <w:p>
            <w:pPr>
              <w:jc w:val="center"/>
            </w:pPr>
            <w:r/>
            <w:r>
              <w:rPr>
                <w:rFonts w:ascii="Times New Roman" w:hAnsi="Times New Roman" w:cs="Times New Roman" w:eastAsia="Times New Roman"/>
                <w:b w:val="0"/>
                <w:i w:val="0"/>
                <w:color w:val="333333"/>
                <w:sz w:val="16"/>
              </w:rPr>
              <w:t>Bu çalışma (AURIS)</w:t>
            </w:r>
          </w:p>
        </w:tc>
        <w:tc>
          <w:tcPr>
            <w:tcW w:type="dxa" w:w="2041"/>
            <w:shd w:val="clear" w:color="auto" w:fill="F5F0E8"/>
          </w:tcPr>
          <w:p>
            <w:pPr>
              <w:jc w:val="center"/>
            </w:pPr>
            <w:r/>
            <w:r>
              <w:rPr>
                <w:rFonts w:ascii="Times New Roman" w:hAnsi="Times New Roman" w:cs="Times New Roman" w:eastAsia="Times New Roman"/>
                <w:b w:val="0"/>
                <w:i w:val="0"/>
                <w:color w:val="333333"/>
                <w:sz w:val="16"/>
              </w:rPr>
              <w:t>5.195 örnek, 12+ üretici</w:t>
            </w:r>
          </w:p>
        </w:tc>
        <w:tc>
          <w:tcPr>
            <w:tcW w:type="dxa" w:w="2041"/>
            <w:shd w:val="clear" w:color="auto" w:fill="F5F0E8"/>
          </w:tcPr>
          <w:p>
            <w:pPr>
              <w:jc w:val="center"/>
            </w:pPr>
            <w:r/>
            <w:r>
              <w:rPr>
                <w:rFonts w:ascii="Times New Roman" w:hAnsi="Times New Roman" w:cs="Times New Roman" w:eastAsia="Times New Roman"/>
                <w:b w:val="0"/>
                <w:i w:val="0"/>
                <w:color w:val="333333"/>
                <w:sz w:val="16"/>
              </w:rPr>
              <w:t>47 öznitelik + 11 model topluluğu</w:t>
            </w:r>
          </w:p>
        </w:tc>
        <w:tc>
          <w:tcPr>
            <w:tcW w:type="dxa" w:w="2041"/>
            <w:shd w:val="clear" w:color="auto" w:fill="F5F0E8"/>
          </w:tcPr>
          <w:p>
            <w:pPr>
              <w:jc w:val="center"/>
            </w:pPr>
            <w:r/>
            <w:r>
              <w:rPr>
                <w:rFonts w:ascii="Times New Roman" w:hAnsi="Times New Roman" w:cs="Times New Roman" w:eastAsia="Times New Roman"/>
                <w:b w:val="0"/>
                <w:i w:val="0"/>
                <w:color w:val="333333"/>
                <w:sz w:val="16"/>
              </w:rPr>
              <w:t>Doğruluk, AUC, F1, Brier</w:t>
            </w:r>
          </w:p>
        </w:tc>
        <w:tc>
          <w:tcPr>
            <w:tcW w:type="dxa" w:w="2041"/>
            <w:shd w:val="clear" w:color="auto" w:fill="F5F0E8"/>
          </w:tcPr>
          <w:p>
            <w:pPr>
              <w:jc w:val="center"/>
            </w:pPr>
            <w:r/>
            <w:r>
              <w:rPr>
                <w:rFonts w:ascii="Times New Roman" w:hAnsi="Times New Roman" w:cs="Times New Roman" w:eastAsia="Times New Roman"/>
                <w:b w:val="0"/>
                <w:i w:val="0"/>
                <w:color w:val="333333"/>
                <w:sz w:val="16"/>
              </w:rPr>
              <w:t>AUC %95,48 (LightGBM)</w:t>
            </w:r>
          </w:p>
        </w:tc>
      </w:tr>
    </w:tbl>
    <w:p>
      <w:pPr>
        <w:spacing w:after="160"/>
      </w:pPr>
    </w:p>
    <w:p>
      <w:pPr>
        <w:spacing w:before="240" w:after="80" w:line="240" w:lineRule="auto"/>
        <w:jc w:val="left"/>
        <w:keepNext/>
      </w:pPr>
      <w:r>
        <w:rPr>
          <w:rFonts w:ascii="Times New Roman" w:hAnsi="Times New Roman" w:cs="Times New Roman" w:eastAsia="Times New Roman"/>
          <w:b/>
          <w:i w:val="0"/>
          <w:color w:val="333333"/>
          <w:sz w:val="17"/>
        </w:rPr>
        <w:t>2. Materyal ve Yöntem (Material and Method)</w:t>
      </w:r>
    </w:p>
    <w:p>
      <w:pPr>
        <w:spacing w:line="240" w:lineRule="auto" w:before="0" w:after="120"/>
        <w:ind w:firstLine="283"/>
        <w:jc w:val="both"/>
      </w:pPr>
      <w:r>
        <w:rPr>
          <w:rFonts w:ascii="Times New Roman" w:hAnsi="Times New Roman" w:cs="Times New Roman" w:eastAsia="Times New Roman"/>
          <w:b w:val="0"/>
          <w:i w:val="0"/>
          <w:color w:val="333333"/>
          <w:sz w:val="17"/>
        </w:rPr>
        <w:t>Bu bölümde önerilen AURIS sistemini geliştirmek için kullanılan materyal ve yöntemler özetlenmiştir. Alt bölümlerde sırasıyla (𝑖) kullanılan veri kümesi, (𝑖𝑖) öznitelik çıkarma boru hattı, (𝑖𝑖𝑖) sınıflandırma modelleri ve (𝑖𝑣) eğitim protokolü ile karar eşiği optimizasyonu detaylandırılmaktadır. Önerilen sistemin uçtan-uca işleyişine genel bir bakış Şekil 1'de sunulmuştur.</w:t>
      </w:r>
    </w:p>
    <w:p>
      <w:pPr>
        <w:spacing w:before="200" w:after="40"/>
        <w:jc w:val="center"/>
        <w:keepNext/>
      </w:pPr>
      <w:r>
        <w:drawing>
          <wp:inline xmlns:a="http://schemas.openxmlformats.org/drawingml/2006/main" xmlns:pic="http://schemas.openxmlformats.org/drawingml/2006/picture">
            <wp:extent cx="3060000" cy="987681"/>
            <wp:docPr id="1" name="Picture 1"/>
            <wp:cNvGraphicFramePr>
              <a:graphicFrameLocks noChangeAspect="1"/>
            </wp:cNvGraphicFramePr>
            <a:graphic>
              <a:graphicData uri="http://schemas.openxmlformats.org/drawingml/2006/picture">
                <pic:pic>
                  <pic:nvPicPr>
                    <pic:cNvPr id="0" name="paper_pipeline_diagram.png"/>
                    <pic:cNvPicPr/>
                  </pic:nvPicPr>
                  <pic:blipFill>
                    <a:blip r:embed="rId9"/>
                    <a:stretch>
                      <a:fillRect/>
                    </a:stretch>
                  </pic:blipFill>
                  <pic:spPr>
                    <a:xfrm>
                      <a:off x="0" y="0"/>
                      <a:ext cx="3060000" cy="98768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 AURIS uçtan-uca işleyiş şeması: ses girişi, 47 boyutlu öznitelik çıkarma, standartlaştırma, 11 modelli topluluk, olasılık füzyonu ve karar eşiği.</w:t>
      </w:r>
    </w:p>
    <w:p>
      <w:pPr>
        <w:spacing w:before="0" w:after="160"/>
        <w:jc w:val="center"/>
      </w:pPr>
      <w:r>
        <w:rPr>
          <w:rFonts w:ascii="Times New Roman" w:hAnsi="Times New Roman" w:cs="Times New Roman" w:eastAsia="Times New Roman"/>
          <w:b w:val="0"/>
          <w:i/>
          <w:color w:val="333333"/>
          <w:sz w:val="17"/>
        </w:rPr>
        <w:t>(End-to-end AURIS pipeline: audio input, 47-dimensional feature extraction, standardisation, 11-model ensemble, probability fusion and decision threshold.)</w:t>
      </w:r>
    </w:p>
    <w:p>
      <w:pPr>
        <w:spacing w:before="160" w:after="40" w:line="240" w:lineRule="auto"/>
        <w:jc w:val="left"/>
        <w:keepNext/>
      </w:pPr>
      <w:r>
        <w:rPr>
          <w:rFonts w:ascii="Times New Roman" w:hAnsi="Times New Roman" w:cs="Times New Roman" w:eastAsia="Times New Roman"/>
          <w:b/>
          <w:i/>
          <w:color w:val="333333"/>
          <w:sz w:val="17"/>
        </w:rPr>
        <w:t>2.1. Kullanılan Veri Kümesi (Utilized Dataset)</w:t>
      </w:r>
    </w:p>
    <w:p>
      <w:pPr>
        <w:spacing w:line="240" w:lineRule="auto" w:before="0" w:after="120"/>
        <w:ind w:firstLine="283"/>
        <w:jc w:val="both"/>
      </w:pPr>
      <w:r>
        <w:rPr>
          <w:rFonts w:ascii="Times New Roman" w:hAnsi="Times New Roman" w:cs="Times New Roman" w:eastAsia="Times New Roman"/>
          <w:b w:val="0"/>
          <w:i w:val="0"/>
          <w:color w:val="333333"/>
          <w:sz w:val="17"/>
        </w:rPr>
        <w:t>Güçlü bir ML/DL modelinin inşa edilebilmesi için en önemli gereksinimlerden biri altın standartta bir veri kümesine sahip olmaktır. Bu bağlamda, bu çalışmada toplam 5.195 ses örneğinden oluşan kapsamlı bir veri kümesi derlenmiştir. Bu örneklerin 3.113 tanesi insan tarafından bestelenmiş ve seslendirilmiş kayıtları (sınıf 0), 2.082 tanesi ise GenAI sistemleri tarafından üretilmiş örnekleri (sınıf 1) temsil etmektedir. İnsan kaynakları üç ayrı havuzdan oluşturulmuştur: GTZAN (899 örnek; on tür, 30 saniyelik klipler), FMA Small (1.000 örnek; sekiz tür) ve bir kapak performansı veri seti olan SleepyJesse (854 örnek). GenAI kaynakları daha çeşitli bir yapı sergilemekte olup Suno (500 örnek, sürüm 3-5), Udio, MusicGen [1], AudioLDM2 [2], Stable Audio, Riffusion, Mustango, JEN-1 ve dahili olarak adlandırılan 'Echoes' ile 'AImE' alt kümelerini içermektedir. Kullanılan veri kümesinin kompozisyonu ve sınıf dağılımı Tablo 2'de özetlenmiştir.</w:t>
      </w:r>
    </w:p>
    <w:p>
      <w:pPr>
        <w:spacing w:before="160" w:after="0"/>
        <w:jc w:val="center"/>
        <w:keepNext/>
      </w:pPr>
      <w:r>
        <w:rPr>
          <w:rFonts w:ascii="Times New Roman" w:hAnsi="Times New Roman" w:cs="Times New Roman" w:eastAsia="Times New Roman"/>
          <w:b/>
          <w:i w:val="0"/>
          <w:color w:val="333333"/>
          <w:sz w:val="17"/>
        </w:rPr>
        <w:t>Tablo 2. Veri kümesi kompozisyonu ve sınıf dağılımı</w:t>
      </w:r>
    </w:p>
    <w:p>
      <w:pPr>
        <w:spacing w:before="0" w:after="40"/>
        <w:jc w:val="center"/>
        <w:keepNext/>
      </w:pPr>
      <w:r>
        <w:rPr>
          <w:rFonts w:ascii="Times New Roman" w:hAnsi="Times New Roman" w:cs="Times New Roman" w:eastAsia="Times New Roman"/>
          <w:b w:val="0"/>
          <w:i/>
          <w:color w:val="333333"/>
          <w:sz w:val="17"/>
        </w:rPr>
        <w:t>(Dataset composition and class distribution)</w:t>
      </w:r>
    </w:p>
    <w:tbl>
      <w:tblPr>
        <w:tblStyle w:val="TableGrid"/>
        <w:tblW w:type="auto" w:w="0"/>
        <w:tblLook w:firstColumn="1" w:firstRow="1" w:lastColumn="0" w:lastRow="0" w:noHBand="0" w:noVBand="1" w:val="04A0"/>
      </w:tblPr>
      <w:tblGrid>
        <w:gridCol w:w="2551"/>
        <w:gridCol w:w="2551"/>
        <w:gridCol w:w="2551"/>
        <w:gridCol w:w="2551"/>
      </w:tblGrid>
      <w:tr>
        <w:tc>
          <w:tcPr>
            <w:tcW w:type="dxa" w:w="2551"/>
            <w:shd w:val="clear" w:color="auto" w:fill="C99347"/>
          </w:tcPr>
          <w:p>
            <w:pPr>
              <w:jc w:val="center"/>
            </w:pPr>
            <w:r/>
            <w:r>
              <w:rPr>
                <w:rFonts w:ascii="Times New Roman" w:hAnsi="Times New Roman" w:cs="Times New Roman" w:eastAsia="Times New Roman"/>
                <w:b/>
                <w:i w:val="0"/>
                <w:color w:val="FFFFFF"/>
                <w:sz w:val="16"/>
              </w:rPr>
              <w:t>Kaynak</w:t>
            </w:r>
          </w:p>
        </w:tc>
        <w:tc>
          <w:tcPr>
            <w:tcW w:type="dxa" w:w="2551"/>
            <w:shd w:val="clear" w:color="auto" w:fill="C99347"/>
          </w:tcPr>
          <w:p>
            <w:pPr>
              <w:jc w:val="center"/>
            </w:pPr>
            <w:r/>
            <w:r>
              <w:rPr>
                <w:rFonts w:ascii="Times New Roman" w:hAnsi="Times New Roman" w:cs="Times New Roman" w:eastAsia="Times New Roman"/>
                <w:b/>
                <w:i w:val="0"/>
                <w:color w:val="FFFFFF"/>
                <w:sz w:val="16"/>
              </w:rPr>
              <w:t>Tür</w:t>
            </w:r>
          </w:p>
        </w:tc>
        <w:tc>
          <w:tcPr>
            <w:tcW w:type="dxa" w:w="2551"/>
            <w:shd w:val="clear" w:color="auto" w:fill="C99347"/>
          </w:tcPr>
          <w:p>
            <w:pPr>
              <w:jc w:val="center"/>
            </w:pPr>
            <w:r/>
            <w:r>
              <w:rPr>
                <w:rFonts w:ascii="Times New Roman" w:hAnsi="Times New Roman" w:cs="Times New Roman" w:eastAsia="Times New Roman"/>
                <w:b/>
                <w:i w:val="0"/>
                <w:color w:val="FFFFFF"/>
                <w:sz w:val="16"/>
              </w:rPr>
              <w:t>Örnek Sayısı</w:t>
            </w:r>
          </w:p>
        </w:tc>
        <w:tc>
          <w:tcPr>
            <w:tcW w:type="dxa" w:w="2551"/>
            <w:shd w:val="clear" w:color="auto" w:fill="C99347"/>
          </w:tcPr>
          <w:p>
            <w:pPr>
              <w:jc w:val="center"/>
            </w:pPr>
            <w:r/>
            <w:r>
              <w:rPr>
                <w:rFonts w:ascii="Times New Roman" w:hAnsi="Times New Roman" w:cs="Times New Roman" w:eastAsia="Times New Roman"/>
                <w:b/>
                <w:i w:val="0"/>
                <w:color w:val="FFFFFF"/>
                <w:sz w:val="16"/>
              </w:rPr>
              <w:t>Etiket</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GTZAN</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(on tür)</w:t>
            </w:r>
          </w:p>
        </w:tc>
        <w:tc>
          <w:tcPr>
            <w:tcW w:type="dxa" w:w="2551"/>
            <w:shd w:val="clear" w:color="auto" w:fill="FFFFFF"/>
          </w:tcPr>
          <w:p>
            <w:pPr>
              <w:jc w:val="center"/>
            </w:pPr>
            <w:r/>
            <w:r>
              <w:rPr>
                <w:rFonts w:ascii="Times New Roman" w:hAnsi="Times New Roman" w:cs="Times New Roman" w:eastAsia="Times New Roman"/>
                <w:b w:val="0"/>
                <w:i w:val="0"/>
                <w:color w:val="333333"/>
                <w:sz w:val="16"/>
              </w:rPr>
              <w:t>899</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FMA Small</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(sekiz tür)</w:t>
            </w:r>
          </w:p>
        </w:tc>
        <w:tc>
          <w:tcPr>
            <w:tcW w:type="dxa" w:w="2551"/>
            <w:shd w:val="clear" w:color="auto" w:fill="F5F0E8"/>
          </w:tcPr>
          <w:p>
            <w:pPr>
              <w:jc w:val="center"/>
            </w:pPr>
            <w:r/>
            <w:r>
              <w:rPr>
                <w:rFonts w:ascii="Times New Roman" w:hAnsi="Times New Roman" w:cs="Times New Roman" w:eastAsia="Times New Roman"/>
                <w:b w:val="0"/>
                <w:i w:val="0"/>
                <w:color w:val="333333"/>
                <w:sz w:val="16"/>
              </w:rPr>
              <w:t>1.000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SleepyJesse</w:t>
            </w:r>
          </w:p>
        </w:tc>
        <w:tc>
          <w:tcPr>
            <w:tcW w:type="dxa" w:w="2551"/>
            <w:shd w:val="clear" w:color="auto" w:fill="FFFFFF"/>
          </w:tcPr>
          <w:p>
            <w:pPr>
              <w:jc w:val="center"/>
            </w:pPr>
            <w:r/>
            <w:r>
              <w:rPr>
                <w:rFonts w:ascii="Times New Roman" w:hAnsi="Times New Roman" w:cs="Times New Roman" w:eastAsia="Times New Roman"/>
                <w:b w:val="0"/>
                <w:i w:val="0"/>
                <w:color w:val="333333"/>
                <w:sz w:val="16"/>
              </w:rPr>
              <w:t>İnsan (kapak performansları)</w:t>
            </w:r>
          </w:p>
        </w:tc>
        <w:tc>
          <w:tcPr>
            <w:tcW w:type="dxa" w:w="2551"/>
            <w:shd w:val="clear" w:color="auto" w:fill="FFFFFF"/>
          </w:tcPr>
          <w:p>
            <w:pPr>
              <w:jc w:val="center"/>
            </w:pPr>
            <w:r/>
            <w:r>
              <w:rPr>
                <w:rFonts w:ascii="Times New Roman" w:hAnsi="Times New Roman" w:cs="Times New Roman" w:eastAsia="Times New Roman"/>
                <w:b w:val="0"/>
                <w:i w:val="0"/>
                <w:color w:val="333333"/>
                <w:sz w:val="16"/>
              </w:rPr>
              <w:t>854</w:t>
            </w:r>
          </w:p>
        </w:tc>
        <w:tc>
          <w:tcPr>
            <w:tcW w:type="dxa" w:w="2551"/>
            <w:shd w:val="clear" w:color="auto" w:fill="FFFFFF"/>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Diğer insan kaynakları</w:t>
            </w:r>
          </w:p>
        </w:tc>
        <w:tc>
          <w:tcPr>
            <w:tcW w:type="dxa" w:w="2551"/>
            <w:shd w:val="clear" w:color="auto" w:fill="F5F0E8"/>
          </w:tcPr>
          <w:p>
            <w:pPr>
              <w:jc w:val="center"/>
            </w:pPr>
            <w:r/>
            <w:r>
              <w:rPr>
                <w:rFonts w:ascii="Times New Roman" w:hAnsi="Times New Roman" w:cs="Times New Roman" w:eastAsia="Times New Roman"/>
                <w:b w:val="0"/>
                <w:i w:val="0"/>
                <w:color w:val="333333"/>
                <w:sz w:val="16"/>
              </w:rPr>
              <w:t>İnsan (çeşitli)</w:t>
            </w:r>
          </w:p>
        </w:tc>
        <w:tc>
          <w:tcPr>
            <w:tcW w:type="dxa" w:w="2551"/>
            <w:shd w:val="clear" w:color="auto" w:fill="F5F0E8"/>
          </w:tcPr>
          <w:p>
            <w:pPr>
              <w:jc w:val="center"/>
            </w:pPr>
            <w:r/>
            <w:r>
              <w:rPr>
                <w:rFonts w:ascii="Times New Roman" w:hAnsi="Times New Roman" w:cs="Times New Roman" w:eastAsia="Times New Roman"/>
                <w:b w:val="0"/>
                <w:i w:val="0"/>
                <w:color w:val="333333"/>
                <w:sz w:val="16"/>
              </w:rPr>
              <w:t>360</w:t>
            </w:r>
          </w:p>
        </w:tc>
        <w:tc>
          <w:tcPr>
            <w:tcW w:type="dxa" w:w="2551"/>
            <w:shd w:val="clear" w:color="auto" w:fill="F5F0E8"/>
          </w:tcPr>
          <w:p>
            <w:pPr>
              <w:jc w:val="center"/>
            </w:pPr>
            <w:r/>
            <w:r>
              <w:rPr>
                <w:rFonts w:ascii="Times New Roman" w:hAnsi="Times New Roman" w:cs="Times New Roman" w:eastAsia="Times New Roman"/>
                <w:b w:val="0"/>
                <w:i w:val="0"/>
                <w:color w:val="333333"/>
                <w:sz w:val="16"/>
              </w:rPr>
              <w:t>0</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Echoes</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(Suno türevi)</w:t>
            </w:r>
          </w:p>
        </w:tc>
        <w:tc>
          <w:tcPr>
            <w:tcW w:type="dxa" w:w="2551"/>
            <w:shd w:val="clear" w:color="auto" w:fill="FFFFFF"/>
          </w:tcPr>
          <w:p>
            <w:pPr>
              <w:jc w:val="center"/>
            </w:pPr>
            <w:r/>
            <w:r>
              <w:rPr>
                <w:rFonts w:ascii="Times New Roman" w:hAnsi="Times New Roman" w:cs="Times New Roman" w:eastAsia="Times New Roman"/>
                <w:b w:val="0"/>
                <w:i w:val="0"/>
                <w:color w:val="333333"/>
                <w:sz w:val="16"/>
              </w:rPr>
              <w:t>1.128</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Suno (v3-v5)</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(ticari)</w:t>
            </w:r>
          </w:p>
        </w:tc>
        <w:tc>
          <w:tcPr>
            <w:tcW w:type="dxa" w:w="2551"/>
            <w:shd w:val="clear" w:color="auto" w:fill="F5F0E8"/>
          </w:tcPr>
          <w:p>
            <w:pPr>
              <w:jc w:val="center"/>
            </w:pPr>
            <w:r/>
            <w:r>
              <w:rPr>
                <w:rFonts w:ascii="Times New Roman" w:hAnsi="Times New Roman" w:cs="Times New Roman" w:eastAsia="Times New Roman"/>
                <w:b w:val="0"/>
                <w:i w:val="0"/>
                <w:color w:val="333333"/>
                <w:sz w:val="16"/>
              </w:rPr>
              <w:t>500</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Deepfake seti</w:t>
            </w:r>
          </w:p>
        </w:tc>
        <w:tc>
          <w:tcPr>
            <w:tcW w:type="dxa" w:w="2551"/>
            <w:shd w:val="clear" w:color="auto" w:fill="FFFFFF"/>
          </w:tcPr>
          <w:p>
            <w:pPr>
              <w:jc w:val="center"/>
            </w:pPr>
            <w:r/>
            <w:r>
              <w:rPr>
                <w:rFonts w:ascii="Times New Roman" w:hAnsi="Times New Roman" w:cs="Times New Roman" w:eastAsia="Times New Roman"/>
                <w:b w:val="0"/>
                <w:i w:val="0"/>
                <w:color w:val="333333"/>
                <w:sz w:val="16"/>
              </w:rPr>
              <w:t>Yapay zekâ (karışık)</w:t>
            </w:r>
          </w:p>
        </w:tc>
        <w:tc>
          <w:tcPr>
            <w:tcW w:type="dxa" w:w="2551"/>
            <w:shd w:val="clear" w:color="auto" w:fill="FFFFFF"/>
          </w:tcPr>
          <w:p>
            <w:pPr>
              <w:jc w:val="center"/>
            </w:pPr>
            <w:r/>
            <w:r>
              <w:rPr>
                <w:rFonts w:ascii="Times New Roman" w:hAnsi="Times New Roman" w:cs="Times New Roman" w:eastAsia="Times New Roman"/>
                <w:b w:val="0"/>
                <w:i w:val="0"/>
                <w:color w:val="333333"/>
                <w:sz w:val="16"/>
              </w:rPr>
              <w:t>492</w:t>
            </w:r>
          </w:p>
        </w:tc>
        <w:tc>
          <w:tcPr>
            <w:tcW w:type="dxa" w:w="2551"/>
            <w:shd w:val="clear" w:color="auto" w:fill="FFFFFF"/>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5F0E8"/>
          </w:tcPr>
          <w:p>
            <w:pPr>
              <w:jc w:val="center"/>
            </w:pPr>
            <w:r/>
            <w:r>
              <w:rPr>
                <w:rFonts w:ascii="Times New Roman" w:hAnsi="Times New Roman" w:cs="Times New Roman" w:eastAsia="Times New Roman"/>
                <w:b w:val="0"/>
                <w:i w:val="0"/>
                <w:color w:val="333333"/>
                <w:sz w:val="16"/>
              </w:rPr>
              <w:t>AImE / Mustango / JEN-1</w:t>
            </w:r>
          </w:p>
        </w:tc>
        <w:tc>
          <w:tcPr>
            <w:tcW w:type="dxa" w:w="2551"/>
            <w:shd w:val="clear" w:color="auto" w:fill="F5F0E8"/>
          </w:tcPr>
          <w:p>
            <w:pPr>
              <w:jc w:val="center"/>
            </w:pPr>
            <w:r/>
            <w:r>
              <w:rPr>
                <w:rFonts w:ascii="Times New Roman" w:hAnsi="Times New Roman" w:cs="Times New Roman" w:eastAsia="Times New Roman"/>
                <w:b w:val="0"/>
                <w:i w:val="0"/>
                <w:color w:val="333333"/>
                <w:sz w:val="16"/>
              </w:rPr>
              <w:t>Yapay zekâ (akademik)</w:t>
            </w:r>
          </w:p>
        </w:tc>
        <w:tc>
          <w:tcPr>
            <w:tcW w:type="dxa" w:w="2551"/>
            <w:shd w:val="clear" w:color="auto" w:fill="F5F0E8"/>
          </w:tcPr>
          <w:p>
            <w:pPr>
              <w:jc w:val="center"/>
            </w:pPr>
            <w:r/>
            <w:r>
              <w:rPr>
                <w:rFonts w:ascii="Times New Roman" w:hAnsi="Times New Roman" w:cs="Times New Roman" w:eastAsia="Times New Roman"/>
                <w:b w:val="0"/>
                <w:i w:val="0"/>
                <w:color w:val="333333"/>
                <w:sz w:val="16"/>
              </w:rPr>
              <w:t>204</w:t>
            </w:r>
          </w:p>
        </w:tc>
        <w:tc>
          <w:tcPr>
            <w:tcW w:type="dxa" w:w="2551"/>
            <w:shd w:val="clear" w:color="auto" w:fill="F5F0E8"/>
          </w:tcPr>
          <w:p>
            <w:pPr>
              <w:jc w:val="center"/>
            </w:pPr>
            <w:r/>
            <w:r>
              <w:rPr>
                <w:rFonts w:ascii="Times New Roman" w:hAnsi="Times New Roman" w:cs="Times New Roman" w:eastAsia="Times New Roman"/>
                <w:b w:val="0"/>
                <w:i w:val="0"/>
                <w:color w:val="333333"/>
                <w:sz w:val="16"/>
              </w:rPr>
              <w:t>1</w:t>
            </w:r>
          </w:p>
        </w:tc>
      </w:tr>
      <w:tr>
        <w:tc>
          <w:tcPr>
            <w:tcW w:type="dxa" w:w="2551"/>
            <w:shd w:val="clear" w:color="auto" w:fill="FFFFFF"/>
          </w:tcPr>
          <w:p>
            <w:pPr>
              <w:jc w:val="center"/>
            </w:pPr>
            <w:r/>
            <w:r>
              <w:rPr>
                <w:rFonts w:ascii="Times New Roman" w:hAnsi="Times New Roman" w:cs="Times New Roman" w:eastAsia="Times New Roman"/>
                <w:b w:val="0"/>
                <w:i w:val="0"/>
                <w:color w:val="333333"/>
                <w:sz w:val="16"/>
              </w:rPr>
              <w:t>Toplam</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c>
          <w:tcPr>
            <w:tcW w:type="dxa" w:w="2551"/>
            <w:shd w:val="clear" w:color="auto" w:fill="FFFFFF"/>
          </w:tcPr>
          <w:p>
            <w:pPr>
              <w:jc w:val="center"/>
            </w:pPr>
            <w:r/>
            <w:r>
              <w:rPr>
                <w:rFonts w:ascii="Times New Roman" w:hAnsi="Times New Roman" w:cs="Times New Roman" w:eastAsia="Times New Roman"/>
                <w:b w:val="0"/>
                <w:i w:val="0"/>
                <w:color w:val="333333"/>
                <w:sz w:val="16"/>
              </w:rPr>
              <w:t>5.195</w:t>
            </w:r>
          </w:p>
        </w:tc>
        <w:tc>
          <w:tcPr>
            <w:tcW w:type="dxa" w:w="2551"/>
            <w:shd w:val="clear" w:color="auto" w:fill="FFFFFF"/>
          </w:tcPr>
          <w:p>
            <w:pPr>
              <w:jc w:val="center"/>
            </w:pPr>
            <w:r/>
            <w:r>
              <w:rPr>
                <w:rFonts w:ascii="Times New Roman" w:hAnsi="Times New Roman" w:cs="Times New Roman" w:eastAsia="Times New Roman"/>
                <w:b w:val="0"/>
                <w:i w:val="0"/>
                <w:color w:val="333333"/>
                <w:sz w:val="16"/>
              </w:rPr>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2.2. Öznitelik Çıkarma (Feature Extraction)</w:t>
      </w:r>
    </w:p>
    <w:p>
      <w:pPr>
        <w:spacing w:line="240" w:lineRule="auto" w:before="0" w:after="120"/>
        <w:ind w:firstLine="283"/>
        <w:jc w:val="both"/>
      </w:pPr>
      <w:r>
        <w:rPr>
          <w:rFonts w:ascii="Times New Roman" w:hAnsi="Times New Roman" w:cs="Times New Roman" w:eastAsia="Times New Roman"/>
          <w:b w:val="0"/>
          <w:i w:val="0"/>
          <w:color w:val="333333"/>
          <w:sz w:val="17"/>
        </w:rPr>
        <w:t>Tüm ML/DL modelleri sayısal verilerle çalışmaktadır. Bu nedenle, kullanılan veri kümesindeki ses parçalarının ayırt edici sayısal özniteliklerle temsil edilmesi gerekmektedir. Bu amaçla her ses parçası, 22.050 Hz örnekleme hızında yeniden örneklenmiş ve librosa [28] kütüphanesi kullanılarak 47 boyutlu bir öznitelik vektörüne dönüştürülmüştür. Elde edilen öznitelik vektörü, akustik karakteristikleri kapsamlı biçimde temsil edebilmek amacıyla dört aileye ayrılmıştır. (𝑖) Spektral aile (16 öznitelik), her bir özniteliğin ortalama ve standart sapması olmak üzere spektral merkezleme (spectral centroid), spektral düzlük (spectral flatness), spektral bant genişliği (spectral bandwidth), spektral kontrast (spectral contrast), spektral azalma (spectral rolloff) ve mel düzlüğünü içermektedir. (𝑖𝑖) Zamansal aile (10 öznitelik) yüksekliği ve zamanlamayı kapsamakta olup şu öznitelikleri içermektedir: Kök Ortalama Kare (Root Mean Square-RMS) enerji ve standart sapması, RMS dinamik aralığı, başlangıç gücü ortalaması ve standart sapması, sıfır geçiş oranı (zero crossing rate) ve standart sapması, tempo (BPM), tempo kararlılığı, tempo varyasyon katsayısı ile vuruş sayısı. (𝑖𝑖𝑖) Harmonik ve tonal aile (9 öznitelik), chroma standart sapması, chroma entropi, chroma geçiş oranı, tonnetz standart sapması, harmonik oran, kompozit harmonik-yapı skoru, mel düzlüğü, ortalama perde (Hz) ve perde standart sapmasını (cent cinsinden) raporlamaktadır. (𝑖𝑣) MFCC ailesi (3 öznitelik), MFCC varyansı ile birinci ve ikinci derece delta varyanslarından oluşmaktadır. (𝑣) Vokal aile (9 öznitelik) ise vokal varlık skoru, vokal güven, vokal AI skoru, perde kararlılığı, vibrato düzenliliği, formant tutarlılığı, nefes düzeni, vokal doku ve vokal harmonik oranı niceliklerini ölçmektedir. İlk sekiz öznitelik için insan ve GenAI örneklerinin dağılımları karşılaştırmalı olarak Şekil 2'de gösterilmiştir.</w:t>
      </w:r>
    </w:p>
    <w:p>
      <w:pPr>
        <w:spacing w:before="200" w:after="40"/>
        <w:jc w:val="center"/>
        <w:keepNext/>
      </w:pPr>
      <w:r>
        <w:drawing>
          <wp:inline xmlns:a="http://schemas.openxmlformats.org/drawingml/2006/main" xmlns:pic="http://schemas.openxmlformats.org/drawingml/2006/picture">
            <wp:extent cx="3060000" cy="1665489"/>
            <wp:docPr id="2" name="Picture 2"/>
            <wp:cNvGraphicFramePr>
              <a:graphicFrameLocks noChangeAspect="1"/>
            </wp:cNvGraphicFramePr>
            <a:graphic>
              <a:graphicData uri="http://schemas.openxmlformats.org/drawingml/2006/picture">
                <pic:pic>
                  <pic:nvPicPr>
                    <pic:cNvPr id="0" name="feature_distribution_ai_vs_human.png"/>
                    <pic:cNvPicPr/>
                  </pic:nvPicPr>
                  <pic:blipFill>
                    <a:blip r:embed="rId10"/>
                    <a:stretch>
                      <a:fillRect/>
                    </a:stretch>
                  </pic:blipFill>
                  <pic:spPr>
                    <a:xfrm>
                      <a:off x="0" y="0"/>
                      <a:ext cx="3060000" cy="1665489"/>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 LightGBM önemine göre sıralanmış ilk sekiz özniteliğin insan (yeşil) ile yapay zekâ (kırmızı) örnekleri için dağılımı. Spektral düzlük panelleri log-eksen ile gösterilmiştir.</w:t>
      </w:r>
    </w:p>
    <w:p>
      <w:pPr>
        <w:spacing w:before="0" w:after="160"/>
        <w:jc w:val="center"/>
      </w:pPr>
      <w:r>
        <w:rPr>
          <w:rFonts w:ascii="Times New Roman" w:hAnsi="Times New Roman" w:cs="Times New Roman" w:eastAsia="Times New Roman"/>
          <w:b w:val="0"/>
          <w:i/>
          <w:color w:val="333333"/>
          <w:sz w:val="17"/>
        </w:rPr>
        <w:t>(Distribution of the top eight features by LightGBM importance, human (green) versus AI (red). The spectral flatness panels use a log x-axis.)</w:t>
      </w:r>
    </w:p>
    <w:p>
      <w:pPr>
        <w:spacing w:before="160" w:after="40" w:line="240" w:lineRule="auto"/>
        <w:jc w:val="left"/>
        <w:keepNext/>
      </w:pPr>
      <w:r>
        <w:rPr>
          <w:rFonts w:ascii="Times New Roman" w:hAnsi="Times New Roman" w:cs="Times New Roman" w:eastAsia="Times New Roman"/>
          <w:b/>
          <w:i/>
          <w:color w:val="333333"/>
          <w:sz w:val="17"/>
        </w:rPr>
        <w:t>2.3. Sınıflandırma Modelleri (Classification Models)</w:t>
      </w:r>
    </w:p>
    <w:p>
      <w:pPr>
        <w:spacing w:line="240" w:lineRule="auto" w:before="0" w:after="120"/>
        <w:ind w:firstLine="283"/>
        <w:jc w:val="both"/>
      </w:pPr>
      <w:r>
        <w:rPr>
          <w:rFonts w:ascii="Times New Roman" w:hAnsi="Times New Roman" w:cs="Times New Roman" w:eastAsia="Times New Roman"/>
          <w:b w:val="0"/>
          <w:i w:val="0"/>
          <w:color w:val="333333"/>
          <w:sz w:val="17"/>
        </w:rPr>
        <w:t>On bir sınıflandırma modeli, ortak bir 5-katlı çapraz doğrulama protokolü altında karşılaştırılmıştır. Yedi makine öğrenmesi modeli scikit-learn [29] kütüphanesi kullanılarak uygulanmıştır: dengeli sınıf ağırlığı ile Lojistik Regresyon (C=2,0), balanced_subsample örnekleme ile Rastgele Orman (n_estimators=500), Gradyan Artırma (n_estimators=180, max_depth=4, learning_rate=0,07), RBF çekirdeği ile destek vektör makinesi SVM (C=10,0, gamma=0,05), ÇKA Sinir Ağı, XGBoost [9] ve LightGBM [10]. SVM, izotonik kalibrasyon ile CalibratedClassifierCV içinde sarılarak diğer modellerle uyumlu olasılık çıktısı sağlanmıştır. Dört derin öğrenme mimarisi PyTorch ile uygulanmıştır: Deep MLP (512-256-128-64 boyutlu katmanlar, BatchNorm ve Dropout), 1D-CNN (öznitelik vektörü üzerinde tek boyutlu konvolüsyon), Residual MLP (üç bloklu artık bağlantılar) ve Attention MLP (öznitelik grupları üzerinde öz-dikkat mekanizması). Tüm derin modeller pos_weight ile ağırlıklandırılmış BCEWithLogitsLoss kullanmakta ve Adam [30] optimizasyonu ile eğitilmektedir. Tablo 3 her modelin hiperparametrelerini özetlemektedir.</w:t>
      </w:r>
    </w:p>
    <w:p>
      <w:pPr>
        <w:spacing w:before="160" w:after="0"/>
        <w:jc w:val="center"/>
        <w:keepNext/>
      </w:pPr>
      <w:r>
        <w:rPr>
          <w:rFonts w:ascii="Times New Roman" w:hAnsi="Times New Roman" w:cs="Times New Roman" w:eastAsia="Times New Roman"/>
          <w:b/>
          <w:i w:val="0"/>
          <w:color w:val="333333"/>
          <w:sz w:val="17"/>
        </w:rPr>
        <w:t>Tablo 3. On bir modelin temel hiperparametreleri</w:t>
      </w:r>
    </w:p>
    <w:p>
      <w:pPr>
        <w:spacing w:before="0" w:after="40"/>
        <w:jc w:val="center"/>
        <w:keepNext/>
      </w:pPr>
      <w:r>
        <w:rPr>
          <w:rFonts w:ascii="Times New Roman" w:hAnsi="Times New Roman" w:cs="Times New Roman" w:eastAsia="Times New Roman"/>
          <w:b w:val="0"/>
          <w:i/>
          <w:color w:val="333333"/>
          <w:sz w:val="17"/>
        </w:rPr>
        <w:t>(Key hyperparameters of the eleven models)</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Model</w:t>
            </w:r>
          </w:p>
        </w:tc>
        <w:tc>
          <w:tcPr>
            <w:tcW w:type="dxa" w:w="3402"/>
            <w:shd w:val="clear" w:color="auto" w:fill="C99347"/>
          </w:tcPr>
          <w:p>
            <w:pPr>
              <w:jc w:val="center"/>
            </w:pPr>
            <w:r/>
            <w:r>
              <w:rPr>
                <w:rFonts w:ascii="Times New Roman" w:hAnsi="Times New Roman" w:cs="Times New Roman" w:eastAsia="Times New Roman"/>
                <w:b/>
                <w:i w:val="0"/>
                <w:color w:val="FFFFFF"/>
                <w:sz w:val="16"/>
              </w:rPr>
              <w:t>Tip</w:t>
            </w:r>
          </w:p>
        </w:tc>
        <w:tc>
          <w:tcPr>
            <w:tcW w:type="dxa" w:w="3402"/>
            <w:shd w:val="clear" w:color="auto" w:fill="C99347"/>
          </w:tcPr>
          <w:p>
            <w:pPr>
              <w:jc w:val="center"/>
            </w:pPr>
            <w:r/>
            <w:r>
              <w:rPr>
                <w:rFonts w:ascii="Times New Roman" w:hAnsi="Times New Roman" w:cs="Times New Roman" w:eastAsia="Times New Roman"/>
                <w:b/>
                <w:i w:val="0"/>
                <w:color w:val="FFFFFF"/>
                <w:sz w:val="16"/>
              </w:rPr>
              <w:t>Temel Hiperparametreler</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C=2,0; max_iter=2500; class_weight=balanced</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n_estimators=500; max_features=log2</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n_estimators=180; max_depth=4; lr=0,07</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C=10,0; gamma=0,05; izotonik kalibrasyon</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Gizli katmanlar: 128-64; relu; adam</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3402"/>
            <w:shd w:val="clear" w:color="auto" w:fill="F5F0E8"/>
          </w:tcPr>
          <w:p>
            <w:pPr>
              <w:jc w:val="center"/>
            </w:pPr>
            <w:r/>
            <w:r>
              <w:rPr>
                <w:rFonts w:ascii="Times New Roman" w:hAnsi="Times New Roman" w:cs="Times New Roman" w:eastAsia="Times New Roman"/>
                <w:b w:val="0"/>
                <w:i w:val="0"/>
                <w:color w:val="333333"/>
                <w:sz w:val="16"/>
              </w:rPr>
              <w:t>ML</w:t>
            </w:r>
          </w:p>
        </w:tc>
        <w:tc>
          <w:tcPr>
            <w:tcW w:type="dxa" w:w="3402"/>
            <w:shd w:val="clear" w:color="auto" w:fill="F5F0E8"/>
          </w:tcPr>
          <w:p>
            <w:pPr>
              <w:jc w:val="center"/>
            </w:pPr>
            <w:r/>
            <w:r>
              <w:rPr>
                <w:rFonts w:ascii="Times New Roman" w:hAnsi="Times New Roman" w:cs="Times New Roman" w:eastAsia="Times New Roman"/>
                <w:b w:val="0"/>
                <w:i w:val="0"/>
                <w:color w:val="333333"/>
                <w:sz w:val="16"/>
              </w:rPr>
              <w:t>n_estimators=400; lr=0,05; max_depth=6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3402"/>
            <w:shd w:val="clear" w:color="auto" w:fill="FFFFFF"/>
          </w:tcPr>
          <w:p>
            <w:pPr>
              <w:jc w:val="center"/>
            </w:pPr>
            <w:r/>
            <w:r>
              <w:rPr>
                <w:rFonts w:ascii="Times New Roman" w:hAnsi="Times New Roman" w:cs="Times New Roman" w:eastAsia="Times New Roman"/>
                <w:b w:val="0"/>
                <w:i w:val="0"/>
                <w:color w:val="333333"/>
                <w:sz w:val="16"/>
              </w:rPr>
              <w:t>ML</w:t>
            </w:r>
          </w:p>
        </w:tc>
        <w:tc>
          <w:tcPr>
            <w:tcW w:type="dxa" w:w="3402"/>
            <w:shd w:val="clear" w:color="auto" w:fill="FFFFFF"/>
          </w:tcPr>
          <w:p>
            <w:pPr>
              <w:jc w:val="center"/>
            </w:pPr>
            <w:r/>
            <w:r>
              <w:rPr>
                <w:rFonts w:ascii="Times New Roman" w:hAnsi="Times New Roman" w:cs="Times New Roman" w:eastAsia="Times New Roman"/>
                <w:b w:val="0"/>
                <w:i w:val="0"/>
                <w:color w:val="333333"/>
                <w:sz w:val="16"/>
              </w:rPr>
              <w:t>n_estimators=400; lr=0,05; num_leaves=31</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Deep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512-256-128-64; BatchNorm; Dropout</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1D-CNN</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Conv1D katmanları; max_pool; global avg</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Residual MLP</w:t>
            </w:r>
          </w:p>
        </w:tc>
        <w:tc>
          <w:tcPr>
            <w:tcW w:type="dxa" w:w="3402"/>
            <w:shd w:val="clear" w:color="auto" w:fill="F5F0E8"/>
          </w:tcPr>
          <w:p>
            <w:pPr>
              <w:jc w:val="center"/>
            </w:pPr>
            <w:r/>
            <w:r>
              <w:rPr>
                <w:rFonts w:ascii="Times New Roman" w:hAnsi="Times New Roman" w:cs="Times New Roman" w:eastAsia="Times New Roman"/>
                <w:b w:val="0"/>
                <w:i w:val="0"/>
                <w:color w:val="333333"/>
                <w:sz w:val="16"/>
              </w:rPr>
              <w:t>DL</w:t>
            </w:r>
          </w:p>
        </w:tc>
        <w:tc>
          <w:tcPr>
            <w:tcW w:type="dxa" w:w="3402"/>
            <w:shd w:val="clear" w:color="auto" w:fill="F5F0E8"/>
          </w:tcPr>
          <w:p>
            <w:pPr>
              <w:jc w:val="center"/>
            </w:pPr>
            <w:r/>
            <w:r>
              <w:rPr>
                <w:rFonts w:ascii="Times New Roman" w:hAnsi="Times New Roman" w:cs="Times New Roman" w:eastAsia="Times New Roman"/>
                <w:b w:val="0"/>
                <w:i w:val="0"/>
                <w:color w:val="333333"/>
                <w:sz w:val="16"/>
              </w:rPr>
              <w:t>3 artık blok; her blok: 256-256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3402"/>
            <w:shd w:val="clear" w:color="auto" w:fill="FFFFFF"/>
          </w:tcPr>
          <w:p>
            <w:pPr>
              <w:jc w:val="center"/>
            </w:pPr>
            <w:r/>
            <w:r>
              <w:rPr>
                <w:rFonts w:ascii="Times New Roman" w:hAnsi="Times New Roman" w:cs="Times New Roman" w:eastAsia="Times New Roman"/>
                <w:b w:val="0"/>
                <w:i w:val="0"/>
                <w:color w:val="333333"/>
                <w:sz w:val="16"/>
              </w:rPr>
              <w:t>DL</w:t>
            </w:r>
          </w:p>
        </w:tc>
        <w:tc>
          <w:tcPr>
            <w:tcW w:type="dxa" w:w="3402"/>
            <w:shd w:val="clear" w:color="auto" w:fill="FFFFFF"/>
          </w:tcPr>
          <w:p>
            <w:pPr>
              <w:jc w:val="center"/>
            </w:pPr>
            <w:r/>
            <w:r>
              <w:rPr>
                <w:rFonts w:ascii="Times New Roman" w:hAnsi="Times New Roman" w:cs="Times New Roman" w:eastAsia="Times New Roman"/>
                <w:b w:val="0"/>
                <w:i w:val="0"/>
                <w:color w:val="333333"/>
                <w:sz w:val="16"/>
              </w:rPr>
              <w:t>Öz-dikkat; 4 baş; gizli 128</w:t>
            </w:r>
          </w:p>
        </w:tc>
      </w:tr>
    </w:tbl>
    <w:p>
      <w:pPr>
        <w:spacing w:after="160"/>
      </w:pPr>
    </w:p>
    <w:p>
      <w:pPr>
        <w:spacing w:before="160" w:after="40" w:line="240" w:lineRule="auto"/>
        <w:jc w:val="left"/>
        <w:keepNext/>
      </w:pPr>
      <w:r>
        <w:rPr>
          <w:rFonts w:ascii="Times New Roman" w:hAnsi="Times New Roman" w:cs="Times New Roman" w:eastAsia="Times New Roman"/>
          <w:b/>
          <w:i/>
          <w:color w:val="333333"/>
          <w:sz w:val="17"/>
        </w:rPr>
        <w:t>2.4. Eğitim Protokolü ve Eşik Optimizasyonu (Training Protocol and Threshold Optimisation)</w:t>
      </w:r>
    </w:p>
    <w:p>
      <w:pPr>
        <w:spacing w:line="240" w:lineRule="auto" w:before="0" w:after="120"/>
        <w:ind w:firstLine="283"/>
        <w:jc w:val="both"/>
      </w:pPr>
      <w:r>
        <w:rPr>
          <w:rFonts w:ascii="Times New Roman" w:hAnsi="Times New Roman" w:cs="Times New Roman" w:eastAsia="Times New Roman"/>
          <w:b w:val="0"/>
          <w:i w:val="0"/>
          <w:color w:val="333333"/>
          <w:sz w:val="17"/>
        </w:rPr>
        <w:t>Tüm modeller stratifiye edilmiş 5-katlı çapraz doğrulama (random_state=42) ile değerlendirilmiştir. Her kat içinde StandardScaler eğitim alt kümesi üzerinde fit edilmiş, ardından doğrulama alt kümesi üzerinde transform uygulanmıştır; bu sayede veri sızıntısı önlenmiştir. Karar eşiği θ, varsayılan 0,5 yerine Youden'in J istatistiği ile optimize edilmiştir: J(θ) = TPR(θ) - FPR(θ), Denklem (1). Bu maksimizasyon, duyarlılık ile özgüllüğün toplamını maksimize eden eşiği seçer. LightGBM için Youden-optimal eşik θ* = 0,4316 olarak ölçülmüştür ve aşağıdaki tüm sonuçlar bu eşik altında raporlanmıştır. Olasılıkların kalibrasyon kalitesi Brier skoru ile değerlendirilmiştir, Denklem (2): BS = (1/N) Σᵢ (pᵢ - yᵢ)².</w:t>
      </w:r>
    </w:p>
    <w:p>
      <w:pPr>
        <w:spacing w:line="240" w:lineRule="auto" w:before="0" w:after="120"/>
        <w:ind w:firstLine="283"/>
        <w:jc w:val="both"/>
      </w:pPr>
      <w:r>
        <w:rPr>
          <w:rFonts w:ascii="Times New Roman" w:hAnsi="Times New Roman" w:cs="Times New Roman" w:eastAsia="Times New Roman"/>
          <w:b w:val="0"/>
          <w:i w:val="0"/>
          <w:color w:val="333333"/>
          <w:sz w:val="17"/>
        </w:rPr>
        <w:t>Modellerin yorumlanabilirliği, LightGBM üzerinde TreeSHAP [11] algoritması kullanılarak analiz edilmiştir. SHAP değerleri, her özniteliğin tahmine katkısını Shapley değerleri çerçevesinde tutarlı biçimde nicelleştirmektedir.</w:t>
      </w:r>
    </w:p>
    <w:p>
      <w:pPr>
        <w:spacing w:before="240" w:after="80" w:line="240" w:lineRule="auto"/>
        <w:jc w:val="left"/>
        <w:keepNext/>
      </w:pPr>
      <w:r>
        <w:rPr>
          <w:rFonts w:ascii="Times New Roman" w:hAnsi="Times New Roman" w:cs="Times New Roman" w:eastAsia="Times New Roman"/>
          <w:b/>
          <w:i w:val="0"/>
          <w:color w:val="333333"/>
          <w:sz w:val="17"/>
        </w:rPr>
        <w:t>3. Sonuçlar ve Tartışma (Results and Discussion)</w:t>
      </w:r>
    </w:p>
    <w:p>
      <w:pPr>
        <w:spacing w:before="160" w:after="40" w:line="240" w:lineRule="auto"/>
        <w:jc w:val="left"/>
        <w:keepNext/>
      </w:pPr>
      <w:r>
        <w:rPr>
          <w:rFonts w:ascii="Times New Roman" w:hAnsi="Times New Roman" w:cs="Times New Roman" w:eastAsia="Times New Roman"/>
          <w:b/>
          <w:i/>
          <w:color w:val="333333"/>
          <w:sz w:val="17"/>
        </w:rPr>
        <w:t>3.1. Genel Model Performansı (Overall Model Performance)</w:t>
      </w:r>
    </w:p>
    <w:p>
      <w:pPr>
        <w:spacing w:line="240" w:lineRule="auto" w:before="0" w:after="120"/>
        <w:ind w:firstLine="283"/>
        <w:jc w:val="both"/>
      </w:pPr>
      <w:r>
        <w:rPr>
          <w:rFonts w:ascii="Times New Roman" w:hAnsi="Times New Roman" w:cs="Times New Roman" w:eastAsia="Times New Roman"/>
          <w:b w:val="0"/>
          <w:i w:val="0"/>
          <w:color w:val="333333"/>
          <w:sz w:val="17"/>
        </w:rPr>
        <w:t>Tablo 4, on bir modelin 5-katlı çapraz doğrulama sonuçlarını ROC-AUC'a göre sıralanmış biçimde sunmaktadır. LightGBM, %95,48 ortalama ROC-AUC değeri ile ilk sırada yer almakta ve Deep MLP %95,42 ile çok yakın bir ikinci sıra elde etmektedir; iki model arasındaki fark yalnızca 0,0006 AUC mertebesindedir. Üçüncü sıradaki XGBoost (%94,65) ve dördüncü sıradaki Residual MLP (%94,85) ile birlikte ilk dört modelin tamamı %94 üzerindeki ROC-AUC değerleriyle birbirine yakın performans göstermektedir. 1D-CNN, %85,43 ile en düşük performansı sergilemiştir; bu sonuç §3.10'da tartışılmaktadır. Şekil 3, dört derin öğrenme mimarisi için epok bazlı eğitim eğrilerini göstermektedir.</w:t>
      </w:r>
    </w:p>
    <w:p>
      <w:pPr>
        <w:spacing w:before="160" w:after="0"/>
        <w:jc w:val="center"/>
        <w:keepNext/>
      </w:pPr>
      <w:r>
        <w:rPr>
          <w:rFonts w:ascii="Times New Roman" w:hAnsi="Times New Roman" w:cs="Times New Roman" w:eastAsia="Times New Roman"/>
          <w:b/>
          <w:i w:val="0"/>
          <w:color w:val="333333"/>
          <w:sz w:val="17"/>
        </w:rPr>
        <w:t>Tablo 4. On bir sınıflandırıcının 5-katlı çapraz doğrulama sonuçları (ROC-AUC'a göre sıralı)</w:t>
      </w:r>
    </w:p>
    <w:p>
      <w:pPr>
        <w:spacing w:before="0" w:after="40"/>
        <w:jc w:val="center"/>
        <w:keepNext/>
      </w:pPr>
      <w:r>
        <w:rPr>
          <w:rFonts w:ascii="Times New Roman" w:hAnsi="Times New Roman" w:cs="Times New Roman" w:eastAsia="Times New Roman"/>
          <w:b w:val="0"/>
          <w:i/>
          <w:color w:val="333333"/>
          <w:sz w:val="17"/>
        </w:rPr>
        <w:t>(5-fold cross-validation results of the eleven classifiers, sorted by ROC-AUC)</w:t>
      </w:r>
    </w:p>
    <w:tbl>
      <w:tblPr>
        <w:tblStyle w:val="TableGrid"/>
        <w:tblW w:type="auto" w:w="0"/>
        <w:tblLook w:firstColumn="1" w:firstRow="1" w:lastColumn="0" w:lastRow="0" w:noHBand="0" w:noVBand="1" w:val="04A0"/>
      </w:tblPr>
      <w:tblGrid>
        <w:gridCol w:w="1458"/>
        <w:gridCol w:w="1458"/>
        <w:gridCol w:w="1458"/>
        <w:gridCol w:w="1458"/>
        <w:gridCol w:w="1458"/>
        <w:gridCol w:w="1458"/>
        <w:gridCol w:w="1458"/>
      </w:tblGrid>
      <w:tr>
        <w:tc>
          <w:tcPr>
            <w:tcW w:type="dxa" w:w="1458"/>
            <w:shd w:val="clear" w:color="auto" w:fill="C99347"/>
          </w:tcPr>
          <w:p>
            <w:pPr>
              <w:jc w:val="center"/>
            </w:pPr>
            <w:r/>
            <w:r>
              <w:rPr>
                <w:rFonts w:ascii="Times New Roman" w:hAnsi="Times New Roman" w:cs="Times New Roman" w:eastAsia="Times New Roman"/>
                <w:b/>
                <w:i w:val="0"/>
                <w:color w:val="FFFFFF"/>
                <w:sz w:val="16"/>
              </w:rPr>
              <w:t>Sıra</w:t>
            </w:r>
          </w:p>
        </w:tc>
        <w:tc>
          <w:tcPr>
            <w:tcW w:type="dxa" w:w="1458"/>
            <w:shd w:val="clear" w:color="auto" w:fill="C99347"/>
          </w:tcPr>
          <w:p>
            <w:pPr>
              <w:jc w:val="center"/>
            </w:pPr>
            <w:r/>
            <w:r>
              <w:rPr>
                <w:rFonts w:ascii="Times New Roman" w:hAnsi="Times New Roman" w:cs="Times New Roman" w:eastAsia="Times New Roman"/>
                <w:b/>
                <w:i w:val="0"/>
                <w:color w:val="FFFFFF"/>
                <w:sz w:val="16"/>
              </w:rPr>
              <w:t>Model</w:t>
            </w:r>
          </w:p>
        </w:tc>
        <w:tc>
          <w:tcPr>
            <w:tcW w:type="dxa" w:w="1458"/>
            <w:shd w:val="clear" w:color="auto" w:fill="C99347"/>
          </w:tcPr>
          <w:p>
            <w:pPr>
              <w:jc w:val="center"/>
            </w:pPr>
            <w:r/>
            <w:r>
              <w:rPr>
                <w:rFonts w:ascii="Times New Roman" w:hAnsi="Times New Roman" w:cs="Times New Roman" w:eastAsia="Times New Roman"/>
                <w:b/>
                <w:i w:val="0"/>
                <w:color w:val="FFFFFF"/>
                <w:sz w:val="16"/>
              </w:rPr>
              <w:t>Tip</w:t>
            </w:r>
          </w:p>
        </w:tc>
        <w:tc>
          <w:tcPr>
            <w:tcW w:type="dxa" w:w="1458"/>
            <w:shd w:val="clear" w:color="auto" w:fill="C99347"/>
          </w:tcPr>
          <w:p>
            <w:pPr>
              <w:jc w:val="center"/>
            </w:pPr>
            <w:r/>
            <w:r>
              <w:rPr>
                <w:rFonts w:ascii="Times New Roman" w:hAnsi="Times New Roman" w:cs="Times New Roman" w:eastAsia="Times New Roman"/>
                <w:b/>
                <w:i w:val="0"/>
                <w:color w:val="FFFFFF"/>
                <w:sz w:val="16"/>
              </w:rPr>
              <w:t>Doğruluk</w:t>
            </w:r>
          </w:p>
        </w:tc>
        <w:tc>
          <w:tcPr>
            <w:tcW w:type="dxa" w:w="1458"/>
            <w:shd w:val="clear" w:color="auto" w:fill="C99347"/>
          </w:tcPr>
          <w:p>
            <w:pPr>
              <w:jc w:val="center"/>
            </w:pPr>
            <w:r/>
            <w:r>
              <w:rPr>
                <w:rFonts w:ascii="Times New Roman" w:hAnsi="Times New Roman" w:cs="Times New Roman" w:eastAsia="Times New Roman"/>
                <w:b/>
                <w:i w:val="0"/>
                <w:color w:val="FFFFFF"/>
                <w:sz w:val="16"/>
              </w:rPr>
              <w:t>F1</w:t>
            </w:r>
          </w:p>
        </w:tc>
        <w:tc>
          <w:tcPr>
            <w:tcW w:type="dxa" w:w="1458"/>
            <w:shd w:val="clear" w:color="auto" w:fill="C99347"/>
          </w:tcPr>
          <w:p>
            <w:pPr>
              <w:jc w:val="center"/>
            </w:pPr>
            <w:r/>
            <w:r>
              <w:rPr>
                <w:rFonts w:ascii="Times New Roman" w:hAnsi="Times New Roman" w:cs="Times New Roman" w:eastAsia="Times New Roman"/>
                <w:b/>
                <w:i w:val="0"/>
                <w:color w:val="FFFFFF"/>
                <w:sz w:val="16"/>
              </w:rPr>
              <w:t>ROC-AUC</w:t>
            </w:r>
          </w:p>
        </w:tc>
        <w:tc>
          <w:tcPr>
            <w:tcW w:type="dxa" w:w="1458"/>
            <w:shd w:val="clear" w:color="auto" w:fill="C99347"/>
          </w:tcPr>
          <w:p>
            <w:pPr>
              <w:jc w:val="center"/>
            </w:pPr>
            <w:r/>
            <w:r>
              <w:rPr>
                <w:rFonts w:ascii="Times New Roman" w:hAnsi="Times New Roman" w:cs="Times New Roman" w:eastAsia="Times New Roman"/>
                <w:b/>
                <w:i w:val="0"/>
                <w:color w:val="FFFFFF"/>
                <w:sz w:val="16"/>
              </w:rPr>
              <w:t>θ*</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w:t>
            </w:r>
          </w:p>
        </w:tc>
        <w:tc>
          <w:tcPr>
            <w:tcW w:type="dxa" w:w="1458"/>
            <w:shd w:val="clear" w:color="auto" w:fill="FFFFFF"/>
          </w:tcPr>
          <w:p>
            <w:pPr>
              <w:jc w:val="center"/>
            </w:pPr>
            <w:r/>
            <w:r>
              <w:rPr>
                <w:rFonts w:ascii="Times New Roman" w:hAnsi="Times New Roman" w:cs="Times New Roman" w:eastAsia="Times New Roman"/>
                <w:b w:val="0"/>
                <w:i w:val="0"/>
                <w:color w:val="333333"/>
                <w:sz w:val="16"/>
              </w:rPr>
              <w:t>LightGBM</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0,8839</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0,8575</w:t>
            </w:r>
          </w:p>
        </w:tc>
        <w:tc>
          <w:tcPr>
            <w:tcW w:type="dxa" w:w="1458"/>
            <w:shd w:val="clear" w:color="auto" w:fill="FFFFFF"/>
          </w:tcPr>
          <w:p>
            <w:pPr>
              <w:jc w:val="center"/>
            </w:pPr>
            <w:r/>
            <w:r>
              <w:rPr>
                <w:rFonts w:ascii="Times New Roman" w:hAnsi="Times New Roman" w:cs="Times New Roman" w:eastAsia="Times New Roman"/>
                <w:b w:val="0"/>
                <w:i w:val="0"/>
                <w:color w:val="333333"/>
                <w:sz w:val="16"/>
              </w:rPr>
              <w:t>0,9548</w:t>
            </w:r>
          </w:p>
        </w:tc>
        <w:tc>
          <w:tcPr>
            <w:tcW w:type="dxa" w:w="1458"/>
            <w:shd w:val="clear" w:color="auto" w:fill="FFFFFF"/>
          </w:tcPr>
          <w:p>
            <w:pPr>
              <w:jc w:val="center"/>
            </w:pPr>
            <w:r/>
            <w:r>
              <w:rPr>
                <w:rFonts w:ascii="Times New Roman" w:hAnsi="Times New Roman" w:cs="Times New Roman" w:eastAsia="Times New Roman"/>
                <w:b w:val="0"/>
                <w:i w:val="0"/>
                <w:color w:val="333333"/>
                <w:sz w:val="16"/>
              </w:rPr>
              <w:t>0,4316</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2</w:t>
            </w:r>
          </w:p>
        </w:tc>
        <w:tc>
          <w:tcPr>
            <w:tcW w:type="dxa" w:w="1458"/>
            <w:shd w:val="clear" w:color="auto" w:fill="F5F0E8"/>
          </w:tcPr>
          <w:p>
            <w:pPr>
              <w:jc w:val="center"/>
            </w:pPr>
            <w:r/>
            <w:r>
              <w:rPr>
                <w:rFonts w:ascii="Times New Roman" w:hAnsi="Times New Roman" w:cs="Times New Roman" w:eastAsia="Times New Roman"/>
                <w:b w:val="0"/>
                <w:i w:val="0"/>
                <w:color w:val="333333"/>
                <w:sz w:val="16"/>
              </w:rPr>
              <w:t>Deep MLP (512-256-128-64)</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0,8849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0,8596</w:t>
            </w:r>
          </w:p>
        </w:tc>
        <w:tc>
          <w:tcPr>
            <w:tcW w:type="dxa" w:w="1458"/>
            <w:shd w:val="clear" w:color="auto" w:fill="F5F0E8"/>
          </w:tcPr>
          <w:p>
            <w:pPr>
              <w:jc w:val="center"/>
            </w:pPr>
            <w:r/>
            <w:r>
              <w:rPr>
                <w:rFonts w:ascii="Times New Roman" w:hAnsi="Times New Roman" w:cs="Times New Roman" w:eastAsia="Times New Roman"/>
                <w:b w:val="0"/>
                <w:i w:val="0"/>
                <w:color w:val="333333"/>
                <w:sz w:val="16"/>
              </w:rPr>
              <w:t>0,9542</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3</w:t>
            </w:r>
          </w:p>
        </w:tc>
        <w:tc>
          <w:tcPr>
            <w:tcW w:type="dxa" w:w="1458"/>
            <w:shd w:val="clear" w:color="auto" w:fill="FFFFFF"/>
          </w:tcPr>
          <w:p>
            <w:pPr>
              <w:jc w:val="center"/>
            </w:pPr>
            <w:r/>
            <w:r>
              <w:rPr>
                <w:rFonts w:ascii="Times New Roman" w:hAnsi="Times New Roman" w:cs="Times New Roman" w:eastAsia="Times New Roman"/>
                <w:b w:val="0"/>
                <w:i w:val="0"/>
                <w:color w:val="333333"/>
                <w:sz w:val="16"/>
              </w:rPr>
              <w:t>Residual MLP (3 blok)</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0,8756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0,8476</w:t>
            </w:r>
          </w:p>
        </w:tc>
        <w:tc>
          <w:tcPr>
            <w:tcW w:type="dxa" w:w="1458"/>
            <w:shd w:val="clear" w:color="auto" w:fill="FFFFFF"/>
          </w:tcPr>
          <w:p>
            <w:pPr>
              <w:jc w:val="center"/>
            </w:pPr>
            <w:r/>
            <w:r>
              <w:rPr>
                <w:rFonts w:ascii="Times New Roman" w:hAnsi="Times New Roman" w:cs="Times New Roman" w:eastAsia="Times New Roman"/>
                <w:b w:val="0"/>
                <w:i w:val="0"/>
                <w:color w:val="333333"/>
                <w:sz w:val="16"/>
              </w:rPr>
              <w:t>0,9485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4</w:t>
            </w:r>
          </w:p>
        </w:tc>
        <w:tc>
          <w:tcPr>
            <w:tcW w:type="dxa" w:w="1458"/>
            <w:shd w:val="clear" w:color="auto" w:fill="F5F0E8"/>
          </w:tcPr>
          <w:p>
            <w:pPr>
              <w:jc w:val="center"/>
            </w:pPr>
            <w:r/>
            <w:r>
              <w:rPr>
                <w:rFonts w:ascii="Times New Roman" w:hAnsi="Times New Roman" w:cs="Times New Roman" w:eastAsia="Times New Roman"/>
                <w:b w:val="0"/>
                <w:i w:val="0"/>
                <w:color w:val="333333"/>
                <w:sz w:val="16"/>
              </w:rPr>
              <w:t>XGBoost</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0,8751</w:t>
            </w:r>
          </w:p>
        </w:tc>
        <w:tc>
          <w:tcPr>
            <w:tcW w:type="dxa" w:w="1458"/>
            <w:shd w:val="clear" w:color="auto" w:fill="F5F0E8"/>
          </w:tcPr>
          <w:p>
            <w:pPr>
              <w:jc w:val="center"/>
            </w:pPr>
            <w:r/>
            <w:r>
              <w:rPr>
                <w:rFonts w:ascii="Times New Roman" w:hAnsi="Times New Roman" w:cs="Times New Roman" w:eastAsia="Times New Roman"/>
                <w:b w:val="0"/>
                <w:i w:val="0"/>
                <w:color w:val="333333"/>
                <w:sz w:val="16"/>
              </w:rPr>
              <w:t>0,8408</w:t>
            </w:r>
          </w:p>
        </w:tc>
        <w:tc>
          <w:tcPr>
            <w:tcW w:type="dxa" w:w="1458"/>
            <w:shd w:val="clear" w:color="auto" w:fill="F5F0E8"/>
          </w:tcPr>
          <w:p>
            <w:pPr>
              <w:jc w:val="center"/>
            </w:pPr>
            <w:r/>
            <w:r>
              <w:rPr>
                <w:rFonts w:ascii="Times New Roman" w:hAnsi="Times New Roman" w:cs="Times New Roman" w:eastAsia="Times New Roman"/>
                <w:b w:val="0"/>
                <w:i w:val="0"/>
                <w:color w:val="333333"/>
                <w:sz w:val="16"/>
              </w:rPr>
              <w:t>0,9465</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5</w:t>
            </w:r>
          </w:p>
        </w:tc>
        <w:tc>
          <w:tcPr>
            <w:tcW w:type="dxa" w:w="1458"/>
            <w:shd w:val="clear" w:color="auto" w:fill="FFFFFF"/>
          </w:tcPr>
          <w:p>
            <w:pPr>
              <w:jc w:val="center"/>
            </w:pPr>
            <w:r/>
            <w:r>
              <w:rPr>
                <w:rFonts w:ascii="Times New Roman" w:hAnsi="Times New Roman" w:cs="Times New Roman" w:eastAsia="Times New Roman"/>
                <w:b w:val="0"/>
                <w:i w:val="0"/>
                <w:color w:val="333333"/>
                <w:sz w:val="16"/>
              </w:rPr>
              <w:t>Gradyan Artırma</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0,8685</w:t>
            </w:r>
          </w:p>
        </w:tc>
        <w:tc>
          <w:tcPr>
            <w:tcW w:type="dxa" w:w="1458"/>
            <w:shd w:val="clear" w:color="auto" w:fill="FFFFFF"/>
          </w:tcPr>
          <w:p>
            <w:pPr>
              <w:jc w:val="center"/>
            </w:pPr>
            <w:r/>
            <w:r>
              <w:rPr>
                <w:rFonts w:ascii="Times New Roman" w:hAnsi="Times New Roman" w:cs="Times New Roman" w:eastAsia="Times New Roman"/>
                <w:b w:val="0"/>
                <w:i w:val="0"/>
                <w:color w:val="333333"/>
                <w:sz w:val="16"/>
              </w:rPr>
              <w:t>0,8337</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0,9397</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6</w:t>
            </w:r>
          </w:p>
        </w:tc>
        <w:tc>
          <w:tcPr>
            <w:tcW w:type="dxa" w:w="1458"/>
            <w:shd w:val="clear" w:color="auto" w:fill="F5F0E8"/>
          </w:tcPr>
          <w:p>
            <w:pPr>
              <w:jc w:val="center"/>
            </w:pPr>
            <w:r/>
            <w:r>
              <w:rPr>
                <w:rFonts w:ascii="Times New Roman" w:hAnsi="Times New Roman" w:cs="Times New Roman" w:eastAsia="Times New Roman"/>
                <w:b w:val="0"/>
                <w:i w:val="0"/>
                <w:color w:val="333333"/>
                <w:sz w:val="16"/>
              </w:rPr>
              <w:t>Rastgele Orman</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0,8606</w:t>
            </w:r>
          </w:p>
        </w:tc>
        <w:tc>
          <w:tcPr>
            <w:tcW w:type="dxa" w:w="1458"/>
            <w:shd w:val="clear" w:color="auto" w:fill="F5F0E8"/>
          </w:tcPr>
          <w:p>
            <w:pPr>
              <w:jc w:val="center"/>
            </w:pPr>
            <w:r/>
            <w:r>
              <w:rPr>
                <w:rFonts w:ascii="Times New Roman" w:hAnsi="Times New Roman" w:cs="Times New Roman" w:eastAsia="Times New Roman"/>
                <w:b w:val="0"/>
                <w:i w:val="0"/>
                <w:color w:val="333333"/>
                <w:sz w:val="16"/>
              </w:rPr>
              <w:t>0,8183</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0,9394</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7</w:t>
            </w:r>
          </w:p>
        </w:tc>
        <w:tc>
          <w:tcPr>
            <w:tcW w:type="dxa" w:w="1458"/>
            <w:shd w:val="clear" w:color="auto" w:fill="FFFFFF"/>
          </w:tcPr>
          <w:p>
            <w:pPr>
              <w:jc w:val="center"/>
            </w:pPr>
            <w:r/>
            <w:r>
              <w:rPr>
                <w:rFonts w:ascii="Times New Roman" w:hAnsi="Times New Roman" w:cs="Times New Roman" w:eastAsia="Times New Roman"/>
                <w:b w:val="0"/>
                <w:i w:val="0"/>
                <w:color w:val="333333"/>
                <w:sz w:val="16"/>
              </w:rPr>
              <w:t>Attention MLP</w:t>
            </w:r>
          </w:p>
        </w:tc>
        <w:tc>
          <w:tcPr>
            <w:tcW w:type="dxa" w:w="1458"/>
            <w:shd w:val="clear" w:color="auto" w:fill="FFFFFF"/>
          </w:tcPr>
          <w:p>
            <w:pPr>
              <w:jc w:val="center"/>
            </w:pPr>
            <w:r/>
            <w:r>
              <w:rPr>
                <w:rFonts w:ascii="Times New Roman" w:hAnsi="Times New Roman" w:cs="Times New Roman" w:eastAsia="Times New Roman"/>
                <w:b w:val="0"/>
                <w:i w:val="0"/>
                <w:color w:val="333333"/>
                <w:sz w:val="16"/>
              </w:rPr>
              <w:t>DL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0,8628</w:t>
            </w:r>
          </w:p>
        </w:tc>
        <w:tc>
          <w:tcPr>
            <w:tcW w:type="dxa" w:w="1458"/>
            <w:shd w:val="clear" w:color="auto" w:fill="FFFFFF"/>
          </w:tcPr>
          <w:p>
            <w:pPr>
              <w:jc w:val="center"/>
            </w:pPr>
            <w:r/>
            <w:r>
              <w:rPr>
                <w:rFonts w:ascii="Times New Roman" w:hAnsi="Times New Roman" w:cs="Times New Roman" w:eastAsia="Times New Roman"/>
                <w:b w:val="0"/>
                <w:i w:val="0"/>
                <w:color w:val="333333"/>
                <w:sz w:val="16"/>
              </w:rPr>
              <w:t>0,8293</w:t>
            </w:r>
          </w:p>
        </w:tc>
        <w:tc>
          <w:tcPr>
            <w:tcW w:type="dxa" w:w="1458"/>
            <w:shd w:val="clear" w:color="auto" w:fill="FFFFFF"/>
          </w:tcPr>
          <w:p>
            <w:pPr>
              <w:jc w:val="center"/>
            </w:pPr>
            <w:r/>
            <w:r>
              <w:rPr>
                <w:rFonts w:ascii="Times New Roman" w:hAnsi="Times New Roman" w:cs="Times New Roman" w:eastAsia="Times New Roman"/>
                <w:b w:val="0"/>
                <w:i w:val="0"/>
                <w:color w:val="333333"/>
                <w:sz w:val="16"/>
              </w:rPr>
              <w:t>0,9359</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8</w:t>
            </w:r>
          </w:p>
        </w:tc>
        <w:tc>
          <w:tcPr>
            <w:tcW w:type="dxa" w:w="1458"/>
            <w:shd w:val="clear" w:color="auto" w:fill="F5F0E8"/>
          </w:tcPr>
          <w:p>
            <w:pPr>
              <w:jc w:val="center"/>
            </w:pPr>
            <w:r/>
            <w:r>
              <w:rPr>
                <w:rFonts w:ascii="Times New Roman" w:hAnsi="Times New Roman" w:cs="Times New Roman" w:eastAsia="Times New Roman"/>
                <w:b w:val="0"/>
                <w:i w:val="0"/>
                <w:color w:val="333333"/>
                <w:sz w:val="16"/>
              </w:rPr>
              <w:t>SVM (RBF)</w:t>
            </w:r>
          </w:p>
        </w:tc>
        <w:tc>
          <w:tcPr>
            <w:tcW w:type="dxa" w:w="1458"/>
            <w:shd w:val="clear" w:color="auto" w:fill="F5F0E8"/>
          </w:tcPr>
          <w:p>
            <w:pPr>
              <w:jc w:val="center"/>
            </w:pPr>
            <w:r/>
            <w:r>
              <w:rPr>
                <w:rFonts w:ascii="Times New Roman" w:hAnsi="Times New Roman" w:cs="Times New Roman" w:eastAsia="Times New Roman"/>
                <w:b w:val="0"/>
                <w:i w:val="0"/>
                <w:color w:val="333333"/>
                <w:sz w:val="16"/>
              </w:rPr>
              <w:t>ML</w:t>
            </w:r>
          </w:p>
        </w:tc>
        <w:tc>
          <w:tcPr>
            <w:tcW w:type="dxa" w:w="1458"/>
            <w:shd w:val="clear" w:color="auto" w:fill="F5F0E8"/>
          </w:tcPr>
          <w:p>
            <w:pPr>
              <w:jc w:val="center"/>
            </w:pPr>
            <w:r/>
            <w:r>
              <w:rPr>
                <w:rFonts w:ascii="Times New Roman" w:hAnsi="Times New Roman" w:cs="Times New Roman" w:eastAsia="Times New Roman"/>
                <w:b w:val="0"/>
                <w:i w:val="0"/>
                <w:color w:val="333333"/>
                <w:sz w:val="16"/>
              </w:rPr>
              <w:t>0,8612</w:t>
            </w:r>
          </w:p>
        </w:tc>
        <w:tc>
          <w:tcPr>
            <w:tcW w:type="dxa" w:w="1458"/>
            <w:shd w:val="clear" w:color="auto" w:fill="F5F0E8"/>
          </w:tcPr>
          <w:p>
            <w:pPr>
              <w:jc w:val="center"/>
            </w:pPr>
            <w:r/>
            <w:r>
              <w:rPr>
                <w:rFonts w:ascii="Times New Roman" w:hAnsi="Times New Roman" w:cs="Times New Roman" w:eastAsia="Times New Roman"/>
                <w:b w:val="0"/>
                <w:i w:val="0"/>
                <w:color w:val="333333"/>
                <w:sz w:val="16"/>
              </w:rPr>
              <w:t>0,8252</w:t>
            </w:r>
          </w:p>
        </w:tc>
        <w:tc>
          <w:tcPr>
            <w:tcW w:type="dxa" w:w="1458"/>
            <w:shd w:val="clear" w:color="auto" w:fill="F5F0E8"/>
          </w:tcPr>
          <w:p>
            <w:pPr>
              <w:jc w:val="center"/>
            </w:pPr>
            <w:r/>
            <w:r>
              <w:rPr>
                <w:rFonts w:ascii="Times New Roman" w:hAnsi="Times New Roman" w:cs="Times New Roman" w:eastAsia="Times New Roman"/>
                <w:b w:val="0"/>
                <w:i w:val="0"/>
                <w:color w:val="333333"/>
                <w:sz w:val="16"/>
              </w:rPr>
              <w:t>0,9346</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9</w:t>
            </w:r>
          </w:p>
        </w:tc>
        <w:tc>
          <w:tcPr>
            <w:tcW w:type="dxa" w:w="1458"/>
            <w:shd w:val="clear" w:color="auto" w:fill="FFFFFF"/>
          </w:tcPr>
          <w:p>
            <w:pPr>
              <w:jc w:val="center"/>
            </w:pPr>
            <w:r/>
            <w:r>
              <w:rPr>
                <w:rFonts w:ascii="Times New Roman" w:hAnsi="Times New Roman" w:cs="Times New Roman" w:eastAsia="Times New Roman"/>
                <w:b w:val="0"/>
                <w:i w:val="0"/>
                <w:color w:val="333333"/>
                <w:sz w:val="16"/>
              </w:rPr>
              <w:t>ÇKA Sinir Ağı</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0,8566</w:t>
            </w:r>
          </w:p>
        </w:tc>
        <w:tc>
          <w:tcPr>
            <w:tcW w:type="dxa" w:w="1458"/>
            <w:shd w:val="clear" w:color="auto" w:fill="FFFFFF"/>
          </w:tcPr>
          <w:p>
            <w:pPr>
              <w:jc w:val="center"/>
            </w:pPr>
            <w:r/>
            <w:r>
              <w:rPr>
                <w:rFonts w:ascii="Times New Roman" w:hAnsi="Times New Roman" w:cs="Times New Roman" w:eastAsia="Times New Roman"/>
                <w:b w:val="0"/>
                <w:i w:val="0"/>
                <w:color w:val="333333"/>
                <w:sz w:val="16"/>
              </w:rPr>
              <w:t>0,8189</w:t>
            </w:r>
          </w:p>
        </w:tc>
        <w:tc>
          <w:tcPr>
            <w:tcW w:type="dxa" w:w="1458"/>
            <w:shd w:val="clear" w:color="auto" w:fill="FFFFFF"/>
          </w:tcPr>
          <w:p>
            <w:pPr>
              <w:jc w:val="center"/>
            </w:pPr>
            <w:r/>
            <w:r>
              <w:rPr>
                <w:rFonts w:ascii="Times New Roman" w:hAnsi="Times New Roman" w:cs="Times New Roman" w:eastAsia="Times New Roman"/>
                <w:b w:val="0"/>
                <w:i w:val="0"/>
                <w:color w:val="333333"/>
                <w:sz w:val="16"/>
              </w:rPr>
              <w:t>0,9276</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5F0E8"/>
          </w:tcPr>
          <w:p>
            <w:pPr>
              <w:jc w:val="center"/>
            </w:pPr>
            <w:r/>
            <w:r>
              <w:rPr>
                <w:rFonts w:ascii="Times New Roman" w:hAnsi="Times New Roman" w:cs="Times New Roman" w:eastAsia="Times New Roman"/>
                <w:b w:val="0"/>
                <w:i w:val="0"/>
                <w:color w:val="333333"/>
                <w:sz w:val="16"/>
              </w:rPr>
              <w:t>10</w:t>
            </w:r>
          </w:p>
        </w:tc>
        <w:tc>
          <w:tcPr>
            <w:tcW w:type="dxa" w:w="1458"/>
            <w:shd w:val="clear" w:color="auto" w:fill="F5F0E8"/>
          </w:tcPr>
          <w:p>
            <w:pPr>
              <w:jc w:val="center"/>
            </w:pPr>
            <w:r/>
            <w:r>
              <w:rPr>
                <w:rFonts w:ascii="Times New Roman" w:hAnsi="Times New Roman" w:cs="Times New Roman" w:eastAsia="Times New Roman"/>
                <w:b w:val="0"/>
                <w:i w:val="0"/>
                <w:color w:val="333333"/>
                <w:sz w:val="16"/>
              </w:rPr>
              <w:t>1D-CNN</w:t>
            </w:r>
          </w:p>
        </w:tc>
        <w:tc>
          <w:tcPr>
            <w:tcW w:type="dxa" w:w="1458"/>
            <w:shd w:val="clear" w:color="auto" w:fill="F5F0E8"/>
          </w:tcPr>
          <w:p>
            <w:pPr>
              <w:jc w:val="center"/>
            </w:pPr>
            <w:r/>
            <w:r>
              <w:rPr>
                <w:rFonts w:ascii="Times New Roman" w:hAnsi="Times New Roman" w:cs="Times New Roman" w:eastAsia="Times New Roman"/>
                <w:b w:val="0"/>
                <w:i w:val="0"/>
                <w:color w:val="333333"/>
                <w:sz w:val="16"/>
              </w:rPr>
              <w:t>DL</w:t>
            </w:r>
          </w:p>
        </w:tc>
        <w:tc>
          <w:tcPr>
            <w:tcW w:type="dxa" w:w="1458"/>
            <w:shd w:val="clear" w:color="auto" w:fill="F5F0E8"/>
          </w:tcPr>
          <w:p>
            <w:pPr>
              <w:jc w:val="center"/>
            </w:pPr>
            <w:r/>
            <w:r>
              <w:rPr>
                <w:rFonts w:ascii="Times New Roman" w:hAnsi="Times New Roman" w:cs="Times New Roman" w:eastAsia="Times New Roman"/>
                <w:b w:val="0"/>
                <w:i w:val="0"/>
                <w:color w:val="333333"/>
                <w:sz w:val="16"/>
              </w:rPr>
              <w:t>0,7665</w:t>
            </w:r>
          </w:p>
        </w:tc>
        <w:tc>
          <w:tcPr>
            <w:tcW w:type="dxa" w:w="1458"/>
            <w:shd w:val="clear" w:color="auto" w:fill="F5F0E8"/>
          </w:tcPr>
          <w:p>
            <w:pPr>
              <w:jc w:val="center"/>
            </w:pPr>
            <w:r/>
            <w:r>
              <w:rPr>
                <w:rFonts w:ascii="Times New Roman" w:hAnsi="Times New Roman" w:cs="Times New Roman" w:eastAsia="Times New Roman"/>
                <w:b w:val="0"/>
                <w:i w:val="0"/>
                <w:color w:val="333333"/>
                <w:sz w:val="16"/>
              </w:rPr>
              <w:t>0,7159</w:t>
            </w:r>
          </w:p>
        </w:tc>
        <w:tc>
          <w:tcPr>
            <w:tcW w:type="dxa" w:w="1458"/>
            <w:shd w:val="clear" w:color="auto" w:fill="F5F0E8"/>
          </w:tcPr>
          <w:p>
            <w:pPr>
              <w:jc w:val="center"/>
            </w:pPr>
            <w:r/>
            <w:r>
              <w:rPr>
                <w:rFonts w:ascii="Times New Roman" w:hAnsi="Times New Roman" w:cs="Times New Roman" w:eastAsia="Times New Roman"/>
                <w:b w:val="0"/>
                <w:i w:val="0"/>
                <w:color w:val="333333"/>
                <w:sz w:val="16"/>
              </w:rPr>
              <w:t>0,8543</w:t>
            </w:r>
          </w:p>
        </w:tc>
        <w:tc>
          <w:tcPr>
            <w:tcW w:type="dxa" w:w="1458"/>
            <w:shd w:val="clear" w:color="auto" w:fill="F5F0E8"/>
          </w:tcPr>
          <w:p>
            <w:pPr>
              <w:jc w:val="center"/>
            </w:pPr>
            <w:r/>
            <w:r>
              <w:rPr>
                <w:rFonts w:ascii="Times New Roman" w:hAnsi="Times New Roman" w:cs="Times New Roman" w:eastAsia="Times New Roman"/>
                <w:b w:val="0"/>
                <w:i w:val="0"/>
                <w:color w:val="333333"/>
                <w:sz w:val="16"/>
              </w:rPr>
              <w:t>—</w:t>
            </w:r>
          </w:p>
        </w:tc>
      </w:tr>
      <w:tr>
        <w:tc>
          <w:tcPr>
            <w:tcW w:type="dxa" w:w="1458"/>
            <w:shd w:val="clear" w:color="auto" w:fill="FFFFFF"/>
          </w:tcPr>
          <w:p>
            <w:pPr>
              <w:jc w:val="center"/>
            </w:pPr>
            <w:r/>
            <w:r>
              <w:rPr>
                <w:rFonts w:ascii="Times New Roman" w:hAnsi="Times New Roman" w:cs="Times New Roman" w:eastAsia="Times New Roman"/>
                <w:b w:val="0"/>
                <w:i w:val="0"/>
                <w:color w:val="333333"/>
                <w:sz w:val="16"/>
              </w:rPr>
              <w:t>11</w:t>
            </w:r>
          </w:p>
        </w:tc>
        <w:tc>
          <w:tcPr>
            <w:tcW w:type="dxa" w:w="1458"/>
            <w:shd w:val="clear" w:color="auto" w:fill="FFFFFF"/>
          </w:tcPr>
          <w:p>
            <w:pPr>
              <w:jc w:val="center"/>
            </w:pPr>
            <w:r/>
            <w:r>
              <w:rPr>
                <w:rFonts w:ascii="Times New Roman" w:hAnsi="Times New Roman" w:cs="Times New Roman" w:eastAsia="Times New Roman"/>
                <w:b w:val="0"/>
                <w:i w:val="0"/>
                <w:color w:val="333333"/>
                <w:sz w:val="16"/>
              </w:rPr>
              <w:t>Lojistik Regresyon</w:t>
            </w:r>
          </w:p>
        </w:tc>
        <w:tc>
          <w:tcPr>
            <w:tcW w:type="dxa" w:w="1458"/>
            <w:shd w:val="clear" w:color="auto" w:fill="FFFFFF"/>
          </w:tcPr>
          <w:p>
            <w:pPr>
              <w:jc w:val="center"/>
            </w:pPr>
            <w:r/>
            <w:r>
              <w:rPr>
                <w:rFonts w:ascii="Times New Roman" w:hAnsi="Times New Roman" w:cs="Times New Roman" w:eastAsia="Times New Roman"/>
                <w:b w:val="0"/>
                <w:i w:val="0"/>
                <w:color w:val="333333"/>
                <w:sz w:val="16"/>
              </w:rPr>
              <w:t>ML</w:t>
            </w:r>
          </w:p>
        </w:tc>
        <w:tc>
          <w:tcPr>
            <w:tcW w:type="dxa" w:w="1458"/>
            <w:shd w:val="clear" w:color="auto" w:fill="FFFFFF"/>
          </w:tcPr>
          <w:p>
            <w:pPr>
              <w:jc w:val="center"/>
            </w:pPr>
            <w:r/>
            <w:r>
              <w:rPr>
                <w:rFonts w:ascii="Times New Roman" w:hAnsi="Times New Roman" w:cs="Times New Roman" w:eastAsia="Times New Roman"/>
                <w:b w:val="0"/>
                <w:i w:val="0"/>
                <w:color w:val="333333"/>
                <w:sz w:val="16"/>
              </w:rPr>
              <w:t>0,7779</w:t>
            </w:r>
          </w:p>
        </w:tc>
        <w:tc>
          <w:tcPr>
            <w:tcW w:type="dxa" w:w="1458"/>
            <w:shd w:val="clear" w:color="auto" w:fill="FFFFFF"/>
          </w:tcPr>
          <w:p>
            <w:pPr>
              <w:jc w:val="center"/>
            </w:pPr>
            <w:r/>
            <w:r>
              <w:rPr>
                <w:rFonts w:ascii="Times New Roman" w:hAnsi="Times New Roman" w:cs="Times New Roman" w:eastAsia="Times New Roman"/>
                <w:b w:val="0"/>
                <w:i w:val="0"/>
                <w:color w:val="333333"/>
                <w:sz w:val="16"/>
              </w:rPr>
              <w:t>0,7390</w:t>
            </w:r>
          </w:p>
        </w:tc>
        <w:tc>
          <w:tcPr>
            <w:tcW w:type="dxa" w:w="1458"/>
            <w:shd w:val="clear" w:color="auto" w:fill="FFFFFF"/>
          </w:tcPr>
          <w:p>
            <w:pPr>
              <w:jc w:val="center"/>
            </w:pPr>
            <w:r/>
            <w:r>
              <w:rPr>
                <w:rFonts w:ascii="Times New Roman" w:hAnsi="Times New Roman" w:cs="Times New Roman" w:eastAsia="Times New Roman"/>
                <w:b w:val="0"/>
                <w:i w:val="0"/>
                <w:color w:val="333333"/>
                <w:sz w:val="16"/>
              </w:rPr>
              <w:t>0,8515</w:t>
            </w:r>
          </w:p>
        </w:tc>
        <w:tc>
          <w:tcPr>
            <w:tcW w:type="dxa" w:w="1458"/>
            <w:shd w:val="clear" w:color="auto" w:fill="FFFFFF"/>
          </w:tcPr>
          <w:p>
            <w:pPr>
              <w:jc w:val="center"/>
            </w:pPr>
            <w:r/>
            <w:r>
              <w:rPr>
                <w:rFonts w:ascii="Times New Roman" w:hAnsi="Times New Roman" w:cs="Times New Roman" w:eastAsia="Times New Roman"/>
                <w:b w:val="0"/>
                <w:i w:val="0"/>
                <w:color w:val="333333"/>
                <w:sz w:val="16"/>
              </w:rPr>
              <w:t>—</w:t>
            </w:r>
          </w:p>
        </w:tc>
      </w:tr>
    </w:tbl>
    <w:p>
      <w:pPr>
        <w:spacing w:after="160"/>
      </w:pPr>
    </w:p>
    <w:p>
      <w:pPr>
        <w:spacing w:before="200" w:after="40"/>
        <w:jc w:val="center"/>
        <w:keepNext/>
      </w:pPr>
      <w:r>
        <w:drawing>
          <wp:inline xmlns:a="http://schemas.openxmlformats.org/drawingml/2006/main" xmlns:pic="http://schemas.openxmlformats.org/drawingml/2006/picture">
            <wp:extent cx="2880000" cy="1424601"/>
            <wp:docPr id="3" name="Picture 3"/>
            <wp:cNvGraphicFramePr>
              <a:graphicFrameLocks noChangeAspect="1"/>
            </wp:cNvGraphicFramePr>
            <a:graphic>
              <a:graphicData uri="http://schemas.openxmlformats.org/drawingml/2006/picture">
                <pic:pic>
                  <pic:nvPicPr>
                    <pic:cNvPr id="0" name="paper_model_comparison.png"/>
                    <pic:cNvPicPr/>
                  </pic:nvPicPr>
                  <pic:blipFill>
                    <a:blip r:embed="rId11"/>
                    <a:stretch>
                      <a:fillRect/>
                    </a:stretch>
                  </pic:blipFill>
                  <pic:spPr>
                    <a:xfrm>
                      <a:off x="0" y="0"/>
                      <a:ext cx="2880000" cy="14246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3. On bir sınıflandırıcının doğruluk, F1 ve ROC-AUC değerlerinin AUC'a göre azalan sırayla karşılaştırılması.</w:t>
      </w:r>
    </w:p>
    <w:p>
      <w:pPr>
        <w:spacing w:before="0" w:after="160"/>
        <w:jc w:val="center"/>
      </w:pPr>
      <w:r>
        <w:rPr>
          <w:rFonts w:ascii="Times New Roman" w:hAnsi="Times New Roman" w:cs="Times New Roman" w:eastAsia="Times New Roman"/>
          <w:b w:val="0"/>
          <w:i/>
          <w:color w:val="333333"/>
          <w:sz w:val="17"/>
        </w:rPr>
        <w:t>(Comparison of accuracy, F1 and ROC-AUC across the eleven classifiers, sorted by AUC in descending order.)</w:t>
      </w:r>
    </w:p>
    <w:p>
      <w:pPr>
        <w:spacing w:before="200" w:after="40"/>
        <w:jc w:val="center"/>
        <w:keepNext/>
      </w:pPr>
      <w:r>
        <w:drawing>
          <wp:inline xmlns:a="http://schemas.openxmlformats.org/drawingml/2006/main" xmlns:pic="http://schemas.openxmlformats.org/drawingml/2006/picture">
            <wp:extent cx="3060000" cy="2558528"/>
            <wp:docPr id="4" name="Picture 4"/>
            <wp:cNvGraphicFramePr>
              <a:graphicFrameLocks noChangeAspect="1"/>
            </wp:cNvGraphicFramePr>
            <a:graphic>
              <a:graphicData uri="http://schemas.openxmlformats.org/drawingml/2006/picture">
                <pic:pic>
                  <pic:nvPicPr>
                    <pic:cNvPr id="0" name="paper_roc_curves.png"/>
                    <pic:cNvPicPr/>
                  </pic:nvPicPr>
                  <pic:blipFill>
                    <a:blip r:embed="rId12"/>
                    <a:stretch>
                      <a:fillRect/>
                    </a:stretch>
                  </pic:blipFill>
                  <pic:spPr>
                    <a:xfrm>
                      <a:off x="0" y="0"/>
                      <a:ext cx="3060000" cy="255852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4. Yedi öznitelik tabanlı sınıflandırıcının 5-katlı çapraz doğrulama ROC eğrileri. LightGBM AUC=0,9545 ile başı çekmekte; rastgele tahmin (AUC=0,500) referans olarak verilmiştir.</w:t>
      </w:r>
    </w:p>
    <w:p>
      <w:pPr>
        <w:spacing w:before="0" w:after="160"/>
        <w:jc w:val="center"/>
      </w:pPr>
      <w:r>
        <w:rPr>
          <w:rFonts w:ascii="Times New Roman" w:hAnsi="Times New Roman" w:cs="Times New Roman" w:eastAsia="Times New Roman"/>
          <w:b w:val="0"/>
          <w:i/>
          <w:color w:val="333333"/>
          <w:sz w:val="17"/>
        </w:rPr>
        <w:t>(ROC curves of the seven feature-based classifiers under 5-fold cross-validation. LightGBM leads with AUC=0.9545; random guessing (AUC=0.500) is shown as reference.)</w:t>
      </w:r>
    </w:p>
    <w:p>
      <w:pPr>
        <w:spacing w:before="200" w:after="40"/>
        <w:jc w:val="center"/>
        <w:keepNext/>
      </w:pPr>
      <w:r>
        <w:drawing>
          <wp:inline xmlns:a="http://schemas.openxmlformats.org/drawingml/2006/main" xmlns:pic="http://schemas.openxmlformats.org/drawingml/2006/picture">
            <wp:extent cx="2880000" cy="1725791"/>
            <wp:docPr id="5" name="Picture 5"/>
            <wp:cNvGraphicFramePr>
              <a:graphicFrameLocks noChangeAspect="1"/>
            </wp:cNvGraphicFramePr>
            <a:graphic>
              <a:graphicData uri="http://schemas.openxmlformats.org/drawingml/2006/picture">
                <pic:pic>
                  <pic:nvPicPr>
                    <pic:cNvPr id="0" name="all_models_heatmap.png"/>
                    <pic:cNvPicPr/>
                  </pic:nvPicPr>
                  <pic:blipFill>
                    <a:blip r:embed="rId13"/>
                    <a:stretch>
                      <a:fillRect/>
                    </a:stretch>
                  </pic:blipFill>
                  <pic:spPr>
                    <a:xfrm>
                      <a:off x="0" y="0"/>
                      <a:ext cx="2880000" cy="172579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5. On bir modelin doğruluk, kesinlik, duyarlılık, F1 ve ROC-AUC değerlerinin ısı haritası; her sütundaki en iyi değer kalın gösterilmiştir.</w:t>
      </w:r>
    </w:p>
    <w:p>
      <w:pPr>
        <w:spacing w:before="0" w:after="160"/>
        <w:jc w:val="center"/>
      </w:pPr>
      <w:r>
        <w:rPr>
          <w:rFonts w:ascii="Times New Roman" w:hAnsi="Times New Roman" w:cs="Times New Roman" w:eastAsia="Times New Roman"/>
          <w:b w:val="0"/>
          <w:i/>
          <w:color w:val="333333"/>
          <w:sz w:val="17"/>
        </w:rPr>
        <w:t>(Heatmap of accuracy, precision, recall, F1 and ROC-AUC across the eleven models; the best per column is shown in bold.)</w:t>
      </w:r>
    </w:p>
    <w:p>
      <w:pPr>
        <w:spacing w:before="160" w:after="40" w:line="240" w:lineRule="auto"/>
        <w:jc w:val="left"/>
        <w:keepNext/>
      </w:pPr>
      <w:r>
        <w:rPr>
          <w:rFonts w:ascii="Times New Roman" w:hAnsi="Times New Roman" w:cs="Times New Roman" w:eastAsia="Times New Roman"/>
          <w:b/>
          <w:i/>
          <w:color w:val="333333"/>
          <w:sz w:val="17"/>
        </w:rPr>
        <w:t>3.2. Makine Öğrenmesi ve Derin Öğrenme Karşılaştırması (ML versus DL Comparison)</w:t>
      </w:r>
    </w:p>
    <w:p>
      <w:pPr>
        <w:spacing w:line="240" w:lineRule="auto" w:before="0" w:after="120"/>
        <w:ind w:firstLine="283"/>
        <w:jc w:val="both"/>
      </w:pPr>
      <w:r>
        <w:rPr>
          <w:rFonts w:ascii="Times New Roman" w:hAnsi="Times New Roman" w:cs="Times New Roman" w:eastAsia="Times New Roman"/>
          <w:b w:val="0"/>
          <w:i w:val="0"/>
          <w:color w:val="333333"/>
          <w:sz w:val="17"/>
        </w:rPr>
        <w:t>Şekil 6, iki aileyi doğrudan karşılaştırmaktadır. Yedi makine öğrenmesi sınıflandırıcısı %92,75 ortalama ROC-AUC değerine ulaşırken, dört derin öğrenme mimarisi %92,32'de kalmaktadır; ancak bu fark esas olarak 1D-CNN'nin DL ortalamasını aşağı çekmesinden kaynaklanmaktadır. 1D-CNN dışlandığında, kalan üç DL mimarisi %94,62 ortalama elde etmekte ve Lojistik Regresyon dışlandığında ML ortalaması %94,02'ye yükselmektedir. Bu sonuç, 47 boyutlu öznitelik vektörünün ayırt edici bilginin büyük kısmını zaten kodladığını; öznitelik mühendisliğinin model kapasitesinden daha belirleyici bir etken olduğunu göstermektedir. Aynı öznitelik vektörünü giriş olarak alan derin modeller, bu öznitelikler içinde mevcut olmayan ayırt edici bilgiye erişememekte; bu bulgu Yi vd. [6] tarafından özetlenen ses derin sahte literatürüyle de tutarlıdır.</w:t>
      </w:r>
    </w:p>
    <w:p>
      <w:pPr>
        <w:spacing w:before="200" w:after="40"/>
        <w:jc w:val="center"/>
        <w:keepNext/>
      </w:pPr>
      <w:r>
        <w:drawing>
          <wp:inline xmlns:a="http://schemas.openxmlformats.org/drawingml/2006/main" xmlns:pic="http://schemas.openxmlformats.org/drawingml/2006/picture">
            <wp:extent cx="2880000" cy="1034410"/>
            <wp:docPr id="6" name="Picture 6"/>
            <wp:cNvGraphicFramePr>
              <a:graphicFrameLocks noChangeAspect="1"/>
            </wp:cNvGraphicFramePr>
            <a:graphic>
              <a:graphicData uri="http://schemas.openxmlformats.org/drawingml/2006/picture">
                <pic:pic>
                  <pic:nvPicPr>
                    <pic:cNvPr id="0" name="paper_ml_vs_dl.png"/>
                    <pic:cNvPicPr/>
                  </pic:nvPicPr>
                  <pic:blipFill>
                    <a:blip r:embed="rId14"/>
                    <a:stretch>
                      <a:fillRect/>
                    </a:stretch>
                  </pic:blipFill>
                  <pic:spPr>
                    <a:xfrm>
                      <a:off x="0" y="0"/>
                      <a:ext cx="2880000" cy="103441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6. Makine öğrenmesi (altın) ve derin öğrenme (koyu) mimarilerinin doğruluk, ROC-AUC ve F1 değerleri açısından toplam karşılaştırması.</w:t>
      </w:r>
    </w:p>
    <w:p>
      <w:pPr>
        <w:spacing w:before="0" w:after="160"/>
        <w:jc w:val="center"/>
      </w:pPr>
      <w:r>
        <w:rPr>
          <w:rFonts w:ascii="Times New Roman" w:hAnsi="Times New Roman" w:cs="Times New Roman" w:eastAsia="Times New Roman"/>
          <w:b w:val="0"/>
          <w:i/>
          <w:color w:val="333333"/>
          <w:sz w:val="17"/>
        </w:rPr>
        <w:t>(Aggregate comparison of machine learning (gold) and deep learning (dark) architectures across accuracy, ROC-AUC and F1.)</w:t>
      </w:r>
    </w:p>
    <w:p>
      <w:pPr>
        <w:spacing w:before="200" w:after="40"/>
        <w:jc w:val="center"/>
        <w:keepNext/>
      </w:pPr>
      <w:r>
        <w:drawing>
          <wp:inline xmlns:a="http://schemas.openxmlformats.org/drawingml/2006/main" xmlns:pic="http://schemas.openxmlformats.org/drawingml/2006/picture">
            <wp:extent cx="3060000" cy="798050"/>
            <wp:docPr id="7" name="Picture 7"/>
            <wp:cNvGraphicFramePr>
              <a:graphicFrameLocks noChangeAspect="1"/>
            </wp:cNvGraphicFramePr>
            <a:graphic>
              <a:graphicData uri="http://schemas.openxmlformats.org/drawingml/2006/picture">
                <pic:pic>
                  <pic:nvPicPr>
                    <pic:cNvPr id="0" name="training_history.png"/>
                    <pic:cNvPicPr/>
                  </pic:nvPicPr>
                  <pic:blipFill>
                    <a:blip r:embed="rId15"/>
                    <a:stretch>
                      <a:fillRect/>
                    </a:stretch>
                  </pic:blipFill>
                  <pic:spPr>
                    <a:xfrm>
                      <a:off x="0" y="0"/>
                      <a:ext cx="3060000" cy="7980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7. Dört derin öğrenme mimarisi için epok bazlı eğitim eğrileri; her panel beş katın ortalaması ve ±σ bant ile birlikte gösterilmektedir.</w:t>
      </w:r>
    </w:p>
    <w:p>
      <w:pPr>
        <w:spacing w:before="0" w:after="160"/>
        <w:jc w:val="center"/>
      </w:pPr>
      <w:r>
        <w:rPr>
          <w:rFonts w:ascii="Times New Roman" w:hAnsi="Times New Roman" w:cs="Times New Roman" w:eastAsia="Times New Roman"/>
          <w:b w:val="0"/>
          <w:i/>
          <w:color w:val="333333"/>
          <w:sz w:val="17"/>
        </w:rPr>
        <w:t>(Per-epoch training curves for the four deep learning architectures, mean across five folds with ±σ band.)</w:t>
      </w:r>
    </w:p>
    <w:p>
      <w:pPr>
        <w:spacing w:before="160" w:after="40" w:line="240" w:lineRule="auto"/>
        <w:jc w:val="left"/>
        <w:keepNext/>
      </w:pPr>
      <w:r>
        <w:rPr>
          <w:rFonts w:ascii="Times New Roman" w:hAnsi="Times New Roman" w:cs="Times New Roman" w:eastAsia="Times New Roman"/>
          <w:b/>
          <w:i/>
          <w:color w:val="333333"/>
          <w:sz w:val="17"/>
        </w:rPr>
        <w:t>3.3. Katlar-Arası Kararlılık (Cross-Fold Stability)</w:t>
      </w:r>
    </w:p>
    <w:p>
      <w:pPr>
        <w:spacing w:line="240" w:lineRule="auto" w:before="0" w:after="120"/>
        <w:ind w:firstLine="283"/>
        <w:jc w:val="both"/>
      </w:pPr>
      <w:r>
        <w:rPr>
          <w:rFonts w:ascii="Times New Roman" w:hAnsi="Times New Roman" w:cs="Times New Roman" w:eastAsia="Times New Roman"/>
          <w:b w:val="0"/>
          <w:i w:val="0"/>
          <w:color w:val="333333"/>
          <w:sz w:val="17"/>
        </w:rPr>
        <w:t>Şekil 8, on bir modelin her bir kat için ROC-AUC değerlerini, ortalamasını ve standart sapmasını sunmaktadır. LightGBM, ±0,0023 standart sapmasıyla havuzdaki en kararlı modeldir; beş katı 0,9515 ile 0,9580 arasında dar bir aralıkta değişmektedir. XGBoost (±0,0029) ve Gradyan Artırma (±0,0038) onu izlemektedir. En değişken modeller 1D-CNN (±0,0087) ve SVM-RBF (±0,0075) olmuştur. Kararlılığa göre sıralama, ortalama AUC sıralamasını yakından izlemekte; en yüksek skoru veren modeller aynı zamanda en az değişken olanlar olmaktadır. Bu örüntü, konuşlandırılabilir bir tespit sistemi için arzu edilen karakteristiği yansıtmaktadır.</w:t>
      </w:r>
    </w:p>
    <w:p>
      <w:pPr>
        <w:spacing w:before="200" w:after="40"/>
        <w:jc w:val="center"/>
        <w:keepNext/>
      </w:pPr>
      <w:r>
        <w:drawing>
          <wp:inline xmlns:a="http://schemas.openxmlformats.org/drawingml/2006/main" xmlns:pic="http://schemas.openxmlformats.org/drawingml/2006/picture">
            <wp:extent cx="3060000" cy="1733537"/>
            <wp:docPr id="8" name="Picture 8"/>
            <wp:cNvGraphicFramePr>
              <a:graphicFrameLocks noChangeAspect="1"/>
            </wp:cNvGraphicFramePr>
            <a:graphic>
              <a:graphicData uri="http://schemas.openxmlformats.org/drawingml/2006/picture">
                <pic:pic>
                  <pic:nvPicPr>
                    <pic:cNvPr id="0" name="paper_fold_std_table.png"/>
                    <pic:cNvPicPr/>
                  </pic:nvPicPr>
                  <pic:blipFill>
                    <a:blip r:embed="rId16"/>
                    <a:stretch>
                      <a:fillRect/>
                    </a:stretch>
                  </pic:blipFill>
                  <pic:spPr>
                    <a:xfrm>
                      <a:off x="0" y="0"/>
                      <a:ext cx="3060000" cy="17335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8. On bir modelin her bir katı için ROC-AUC değerleri, ortalama AUC (azalan sırada) ve standart sapma. LightGBM hem en yüksek ortalamaya hem de en düşük katlar-arası varyansa sahiptir (±0,0023).</w:t>
      </w:r>
    </w:p>
    <w:p>
      <w:pPr>
        <w:spacing w:before="0" w:after="160"/>
        <w:jc w:val="center"/>
      </w:pPr>
      <w:r>
        <w:rPr>
          <w:rFonts w:ascii="Times New Roman" w:hAnsi="Times New Roman" w:cs="Times New Roman" w:eastAsia="Times New Roman"/>
          <w:b w:val="0"/>
          <w:i/>
          <w:color w:val="333333"/>
          <w:sz w:val="17"/>
        </w:rPr>
        <w:t>(Per-fold ROC-AUC for all eleven models, mean AUC (descending) and standard deviation. LightGBM combines the highest mean with the lowest fold-to-fold variance (±0.0023).)</w:t>
      </w:r>
    </w:p>
    <w:p>
      <w:pPr>
        <w:spacing w:before="160" w:after="40" w:line="240" w:lineRule="auto"/>
        <w:jc w:val="left"/>
        <w:keepNext/>
      </w:pPr>
      <w:r>
        <w:rPr>
          <w:rFonts w:ascii="Times New Roman" w:hAnsi="Times New Roman" w:cs="Times New Roman" w:eastAsia="Times New Roman"/>
          <w:b/>
          <w:i/>
          <w:color w:val="333333"/>
          <w:sz w:val="17"/>
        </w:rPr>
        <w:t>3.4. Öznitelik Önemi (Feature Importance)</w:t>
      </w:r>
    </w:p>
    <w:p>
      <w:pPr>
        <w:spacing w:line="240" w:lineRule="auto" w:before="0" w:after="120"/>
        <w:ind w:firstLine="283"/>
        <w:jc w:val="both"/>
      </w:pPr>
      <w:r>
        <w:rPr>
          <w:rFonts w:ascii="Times New Roman" w:hAnsi="Times New Roman" w:cs="Times New Roman" w:eastAsia="Times New Roman"/>
          <w:b w:val="0"/>
          <w:i w:val="0"/>
          <w:color w:val="333333"/>
          <w:sz w:val="17"/>
        </w:rPr>
        <w:t>Tablo 5, LightGBM modelinde normalleştirilmiş kazanca göre sıralanan ilk yirmi özniteliği listelemektedir. Spektral düzlük -hem kare başına standart sapma hem de ortalama olarak ölçülen- ilk beş içinde iki kez yer almakta, standart sapması belirgin bir farkla ilk sırayı oluşturmaktadır. Spektral kontrast ortalaması (sıra 2), RMS enerji (sıra 3) ve başlangıç gücü standart sapması (sıra 4) ilk grubu tamamlamaktadır. Vokal aile özniteliklerinin ilk yirmi içinde yalnızca breath_pattern_score (sıra 18) yer almaktadır; bu durum, vokal özniteliklerinin enstrümantal parçalarda anlamlı sinyal üretmemesi ile tutarlıdır. Şekil 9, ilk yirmi özniteliğin önem skorlarını çubuk grafik olarak; Şekil 10 ise TreeSHAP [11] tabanlı global etki dağılımını görselleştirmektedir.</w:t>
      </w:r>
    </w:p>
    <w:p>
      <w:pPr>
        <w:spacing w:before="160" w:after="0"/>
        <w:jc w:val="center"/>
        <w:keepNext/>
      </w:pPr>
      <w:r>
        <w:rPr>
          <w:rFonts w:ascii="Times New Roman" w:hAnsi="Times New Roman" w:cs="Times New Roman" w:eastAsia="Times New Roman"/>
          <w:b/>
          <w:i w:val="0"/>
          <w:color w:val="333333"/>
          <w:sz w:val="17"/>
        </w:rPr>
        <w:t>Tablo 5. LightGBM'in normalleştirilmiş kazanç önemine göre ilk on özniteliği</w:t>
      </w:r>
    </w:p>
    <w:p>
      <w:pPr>
        <w:spacing w:before="0" w:after="40"/>
        <w:jc w:val="center"/>
        <w:keepNext/>
      </w:pPr>
      <w:r>
        <w:rPr>
          <w:rFonts w:ascii="Times New Roman" w:hAnsi="Times New Roman" w:cs="Times New Roman" w:eastAsia="Times New Roman"/>
          <w:b w:val="0"/>
          <w:i/>
          <w:color w:val="333333"/>
          <w:sz w:val="17"/>
        </w:rPr>
        <w:t>(Top ten features ranked by LightGBM's normalised gain importance)</w:t>
      </w:r>
    </w:p>
    <w:tbl>
      <w:tblPr>
        <w:tblStyle w:val="TableGrid"/>
        <w:tblW w:type="auto" w:w="0"/>
        <w:tblLook w:firstColumn="1" w:firstRow="1" w:lastColumn="0" w:lastRow="0" w:noHBand="0" w:noVBand="1" w:val="04A0"/>
      </w:tblPr>
      <w:tblGrid>
        <w:gridCol w:w="3402"/>
        <w:gridCol w:w="3402"/>
        <w:gridCol w:w="3402"/>
      </w:tblGrid>
      <w:tr>
        <w:tc>
          <w:tcPr>
            <w:tcW w:type="dxa" w:w="3402"/>
            <w:shd w:val="clear" w:color="auto" w:fill="C99347"/>
          </w:tcPr>
          <w:p>
            <w:pPr>
              <w:jc w:val="center"/>
            </w:pPr>
            <w:r/>
            <w:r>
              <w:rPr>
                <w:rFonts w:ascii="Times New Roman" w:hAnsi="Times New Roman" w:cs="Times New Roman" w:eastAsia="Times New Roman"/>
                <w:b/>
                <w:i w:val="0"/>
                <w:color w:val="FFFFFF"/>
                <w:sz w:val="16"/>
              </w:rPr>
              <w:t>Sıra</w:t>
            </w:r>
          </w:p>
        </w:tc>
        <w:tc>
          <w:tcPr>
            <w:tcW w:type="dxa" w:w="3402"/>
            <w:shd w:val="clear" w:color="auto" w:fill="C99347"/>
          </w:tcPr>
          <w:p>
            <w:pPr>
              <w:jc w:val="center"/>
            </w:pPr>
            <w:r/>
            <w:r>
              <w:rPr>
                <w:rFonts w:ascii="Times New Roman" w:hAnsi="Times New Roman" w:cs="Times New Roman" w:eastAsia="Times New Roman"/>
                <w:b/>
                <w:i w:val="0"/>
                <w:color w:val="FFFFFF"/>
                <w:sz w:val="16"/>
              </w:rPr>
              <w:t>Öznitelik</w:t>
            </w:r>
          </w:p>
        </w:tc>
        <w:tc>
          <w:tcPr>
            <w:tcW w:type="dxa" w:w="3402"/>
            <w:shd w:val="clear" w:color="auto" w:fill="C99347"/>
          </w:tcPr>
          <w:p>
            <w:pPr>
              <w:jc w:val="center"/>
            </w:pPr>
            <w:r/>
            <w:r>
              <w:rPr>
                <w:rFonts w:ascii="Times New Roman" w:hAnsi="Times New Roman" w:cs="Times New Roman" w:eastAsia="Times New Roman"/>
                <w:b/>
                <w:i w:val="0"/>
                <w:color w:val="FFFFFF"/>
                <w:sz w:val="16"/>
              </w:rPr>
              <w:t>Önem</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1</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spectral_flatness_std</w:t>
            </w:r>
          </w:p>
        </w:tc>
        <w:tc>
          <w:tcPr>
            <w:tcW w:type="dxa" w:w="3402"/>
            <w:shd w:val="clear" w:color="auto" w:fill="FFFFFF"/>
          </w:tcPr>
          <w:p>
            <w:pPr>
              <w:jc w:val="center"/>
            </w:pPr>
            <w:r/>
            <w:r>
              <w:rPr>
                <w:rFonts w:ascii="Times New Roman" w:hAnsi="Times New Roman" w:cs="Times New Roman" w:eastAsia="Times New Roman"/>
                <w:b w:val="0"/>
                <w:i w:val="0"/>
                <w:color w:val="333333"/>
                <w:sz w:val="16"/>
              </w:rPr>
              <w:t>0,0619</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2</w:t>
            </w:r>
          </w:p>
        </w:tc>
        <w:tc>
          <w:tcPr>
            <w:tcW w:type="dxa" w:w="3402"/>
            <w:shd w:val="clear" w:color="auto" w:fill="F5F0E8"/>
          </w:tcPr>
          <w:p>
            <w:pPr>
              <w:jc w:val="center"/>
            </w:pPr>
            <w:r/>
            <w:r>
              <w:rPr>
                <w:rFonts w:ascii="Times New Roman" w:hAnsi="Times New Roman" w:cs="Times New Roman" w:eastAsia="Times New Roman"/>
                <w:b w:val="0"/>
                <w:i w:val="0"/>
                <w:color w:val="333333"/>
                <w:sz w:val="16"/>
              </w:rPr>
              <w:t>spectral_contrast_mean</w:t>
            </w:r>
          </w:p>
        </w:tc>
        <w:tc>
          <w:tcPr>
            <w:tcW w:type="dxa" w:w="3402"/>
            <w:shd w:val="clear" w:color="auto" w:fill="F5F0E8"/>
          </w:tcPr>
          <w:p>
            <w:pPr>
              <w:jc w:val="center"/>
            </w:pPr>
            <w:r/>
            <w:r>
              <w:rPr>
                <w:rFonts w:ascii="Times New Roman" w:hAnsi="Times New Roman" w:cs="Times New Roman" w:eastAsia="Times New Roman"/>
                <w:b w:val="0"/>
                <w:i w:val="0"/>
                <w:color w:val="333333"/>
                <w:sz w:val="16"/>
              </w:rPr>
              <w:t>0,0467</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3</w:t>
            </w:r>
          </w:p>
        </w:tc>
        <w:tc>
          <w:tcPr>
            <w:tcW w:type="dxa" w:w="3402"/>
            <w:shd w:val="clear" w:color="auto" w:fill="FFFFFF"/>
          </w:tcPr>
          <w:p>
            <w:pPr>
              <w:jc w:val="center"/>
            </w:pPr>
            <w:r/>
            <w:r>
              <w:rPr>
                <w:rFonts w:ascii="Times New Roman" w:hAnsi="Times New Roman" w:cs="Times New Roman" w:eastAsia="Times New Roman"/>
                <w:b w:val="0"/>
                <w:i w:val="0"/>
                <w:color w:val="333333"/>
                <w:sz w:val="16"/>
              </w:rPr>
              <w:t>rms_energy</w:t>
            </w:r>
          </w:p>
        </w:tc>
        <w:tc>
          <w:tcPr>
            <w:tcW w:type="dxa" w:w="3402"/>
            <w:shd w:val="clear" w:color="auto" w:fill="FFFFFF"/>
          </w:tcPr>
          <w:p>
            <w:pPr>
              <w:jc w:val="center"/>
            </w:pPr>
            <w:r/>
            <w:r>
              <w:rPr>
                <w:rFonts w:ascii="Times New Roman" w:hAnsi="Times New Roman" w:cs="Times New Roman" w:eastAsia="Times New Roman"/>
                <w:b w:val="0"/>
                <w:i w:val="0"/>
                <w:color w:val="333333"/>
                <w:sz w:val="16"/>
              </w:rPr>
              <w:t>0,0456</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4</w:t>
            </w:r>
          </w:p>
        </w:tc>
        <w:tc>
          <w:tcPr>
            <w:tcW w:type="dxa" w:w="3402"/>
            <w:shd w:val="clear" w:color="auto" w:fill="F5F0E8"/>
          </w:tcPr>
          <w:p>
            <w:pPr>
              <w:jc w:val="center"/>
            </w:pPr>
            <w:r/>
            <w:r>
              <w:rPr>
                <w:rFonts w:ascii="Times New Roman" w:hAnsi="Times New Roman" w:cs="Times New Roman" w:eastAsia="Times New Roman"/>
                <w:b w:val="0"/>
                <w:i w:val="0"/>
                <w:color w:val="333333"/>
                <w:sz w:val="16"/>
              </w:rPr>
              <w:t>onset_strength_std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0,0388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5</w:t>
            </w:r>
          </w:p>
        </w:tc>
        <w:tc>
          <w:tcPr>
            <w:tcW w:type="dxa" w:w="3402"/>
            <w:shd w:val="clear" w:color="auto" w:fill="FFFFFF"/>
          </w:tcPr>
          <w:p>
            <w:pPr>
              <w:jc w:val="center"/>
            </w:pPr>
            <w:r/>
            <w:r>
              <w:rPr>
                <w:rFonts w:ascii="Times New Roman" w:hAnsi="Times New Roman" w:cs="Times New Roman" w:eastAsia="Times New Roman"/>
                <w:b w:val="0"/>
                <w:i w:val="0"/>
                <w:color w:val="333333"/>
                <w:sz w:val="16"/>
              </w:rPr>
              <w:t>spectral_flatness_mean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0,0370</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6</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rms_dynamic_range</w:t>
            </w:r>
          </w:p>
        </w:tc>
        <w:tc>
          <w:tcPr>
            <w:tcW w:type="dxa" w:w="3402"/>
            <w:shd w:val="clear" w:color="auto" w:fill="F5F0E8"/>
          </w:tcPr>
          <w:p>
            <w:pPr>
              <w:jc w:val="center"/>
            </w:pPr>
            <w:r/>
            <w:r>
              <w:rPr>
                <w:rFonts w:ascii="Times New Roman" w:hAnsi="Times New Roman" w:cs="Times New Roman" w:eastAsia="Times New Roman"/>
                <w:b w:val="0"/>
                <w:i w:val="0"/>
                <w:color w:val="333333"/>
                <w:sz w:val="16"/>
              </w:rPr>
              <w:t>0,0346</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7</w:t>
            </w:r>
          </w:p>
        </w:tc>
        <w:tc>
          <w:tcPr>
            <w:tcW w:type="dxa" w:w="3402"/>
            <w:shd w:val="clear" w:color="auto" w:fill="FFFFFF"/>
          </w:tcPr>
          <w:p>
            <w:pPr>
              <w:jc w:val="center"/>
            </w:pPr>
            <w:r/>
            <w:r>
              <w:rPr>
                <w:rFonts w:ascii="Times New Roman" w:hAnsi="Times New Roman" w:cs="Times New Roman" w:eastAsia="Times New Roman"/>
                <w:b w:val="0"/>
                <w:i w:val="0"/>
                <w:color w:val="333333"/>
                <w:sz w:val="16"/>
              </w:rPr>
              <w:t>onset_strength_mean</w:t>
            </w:r>
          </w:p>
        </w:tc>
        <w:tc>
          <w:tcPr>
            <w:tcW w:type="dxa" w:w="3402"/>
            <w:shd w:val="clear" w:color="auto" w:fill="FFFFFF"/>
          </w:tcPr>
          <w:p>
            <w:pPr>
              <w:jc w:val="center"/>
            </w:pPr>
            <w:r/>
            <w:r>
              <w:rPr>
                <w:rFonts w:ascii="Times New Roman" w:hAnsi="Times New Roman" w:cs="Times New Roman" w:eastAsia="Times New Roman"/>
                <w:b w:val="0"/>
                <w:i w:val="0"/>
                <w:color w:val="333333"/>
                <w:sz w:val="16"/>
              </w:rPr>
              <w:t>0,0332</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8</w:t>
            </w:r>
          </w:p>
        </w:tc>
        <w:tc>
          <w:tcPr>
            <w:tcW w:type="dxa" w:w="3402"/>
            <w:shd w:val="clear" w:color="auto" w:fill="F5F0E8"/>
          </w:tcPr>
          <w:p>
            <w:pPr>
              <w:jc w:val="center"/>
            </w:pPr>
            <w:r/>
            <w:r>
              <w:rPr>
                <w:rFonts w:ascii="Times New Roman" w:hAnsi="Times New Roman" w:cs="Times New Roman" w:eastAsia="Times New Roman"/>
                <w:b w:val="0"/>
                <w:i w:val="0"/>
                <w:color w:val="333333"/>
                <w:sz w:val="16"/>
              </w:rPr>
              <w:t>rms_std</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FFFFF"/>
          </w:tcPr>
          <w:p>
            <w:pPr>
              <w:jc w:val="center"/>
            </w:pPr>
            <w:r/>
            <w:r>
              <w:rPr>
                <w:rFonts w:ascii="Times New Roman" w:hAnsi="Times New Roman" w:cs="Times New Roman" w:eastAsia="Times New Roman"/>
                <w:b w:val="0"/>
                <w:i w:val="0"/>
                <w:color w:val="333333"/>
                <w:sz w:val="16"/>
              </w:rPr>
              <w:t>9</w:t>
            </w:r>
          </w:p>
        </w:tc>
        <w:tc>
          <w:tcPr>
            <w:tcW w:type="dxa" w:w="3402"/>
            <w:shd w:val="clear" w:color="auto" w:fill="FFFFFF"/>
          </w:tcPr>
          <w:p>
            <w:pPr>
              <w:jc w:val="center"/>
            </w:pPr>
            <w:r/>
            <w:r>
              <w:rPr>
                <w:rFonts w:ascii="Times New Roman" w:hAnsi="Times New Roman" w:cs="Times New Roman" w:eastAsia="Times New Roman"/>
                <w:b w:val="0"/>
                <w:i w:val="0"/>
                <w:color w:val="333333"/>
                <w:sz w:val="16"/>
              </w:rPr>
              <w:t>beat_count</w:t>
            </w:r>
          </w:p>
        </w:tc>
        <w:tc>
          <w:tcPr>
            <w:tcW w:type="dxa" w:w="3402"/>
            <w:shd w:val="clear" w:color="auto" w:fill="FFFFFF"/>
          </w:tcPr>
          <w:p>
            <w:pPr>
              <w:jc w:val="center"/>
            </w:pPr>
            <w:r/>
            <w:r>
              <w:rPr>
                <w:rFonts w:ascii="Times New Roman" w:hAnsi="Times New Roman" w:cs="Times New Roman" w:eastAsia="Times New Roman"/>
                <w:b w:val="0"/>
                <w:i w:val="0"/>
                <w:color w:val="333333"/>
                <w:sz w:val="16"/>
              </w:rPr>
              <w:t>0,0298</w:t>
            </w:r>
          </w:p>
        </w:tc>
      </w:tr>
      <w:tr>
        <w:tc>
          <w:tcPr>
            <w:tcW w:type="dxa" w:w="3402"/>
            <w:shd w:val="clear" w:color="auto" w:fill="F5F0E8"/>
          </w:tcPr>
          <w:p>
            <w:pPr>
              <w:jc w:val="center"/>
            </w:pPr>
            <w:r/>
            <w:r>
              <w:rPr>
                <w:rFonts w:ascii="Times New Roman" w:hAnsi="Times New Roman" w:cs="Times New Roman" w:eastAsia="Times New Roman"/>
                <w:b w:val="0"/>
                <w:i w:val="0"/>
                <w:color w:val="333333"/>
                <w:sz w:val="16"/>
              </w:rPr>
              <w:t>10</w:t>
            </w:r>
          </w:p>
        </w:tc>
        <w:tc>
          <w:tcPr>
            <w:tcW w:type="dxa" w:w="3402"/>
            <w:shd w:val="clear" w:color="auto" w:fill="F5F0E8"/>
          </w:tcPr>
          <w:p>
            <w:pPr>
              <w:jc w:val="center"/>
            </w:pPr>
            <w:r/>
            <w:r>
              <w:rPr>
                <w:rFonts w:ascii="Times New Roman" w:hAnsi="Times New Roman" w:cs="Times New Roman" w:eastAsia="Times New Roman"/>
                <w:b w:val="0"/>
                <w:i w:val="0"/>
                <w:color w:val="333333"/>
                <w:sz w:val="16"/>
              </w:rPr>
              <w:t>mfcc_delta_var</w:t>
            </w:r>
          </w:p>
        </w:tc>
        <w:tc>
          <w:tcPr>
            <w:tcW w:type="dxa" w:w="3402"/>
            <w:shd w:val="clear" w:color="auto" w:fill="F5F0E8"/>
          </w:tcPr>
          <w:p>
            <w:pPr>
              <w:jc w:val="center"/>
            </w:pPr>
            <w:r/>
            <w:r>
              <w:rPr>
                <w:rFonts w:ascii="Times New Roman" w:hAnsi="Times New Roman" w:cs="Times New Roman" w:eastAsia="Times New Roman"/>
                <w:b w:val="0"/>
                <w:i w:val="0"/>
                <w:color w:val="333333"/>
                <w:sz w:val="16"/>
              </w:rPr>
              <w:t>0,0289</w:t>
            </w:r>
          </w:p>
        </w:tc>
      </w:tr>
    </w:tbl>
    <w:p>
      <w:pPr>
        <w:spacing w:after="160"/>
      </w:pPr>
    </w:p>
    <w:p>
      <w:pPr>
        <w:spacing w:before="200" w:after="40"/>
        <w:jc w:val="center"/>
        <w:keepNext/>
      </w:pPr>
      <w:r>
        <w:drawing>
          <wp:inline xmlns:a="http://schemas.openxmlformats.org/drawingml/2006/main" xmlns:pic="http://schemas.openxmlformats.org/drawingml/2006/picture">
            <wp:extent cx="2880000" cy="2296970"/>
            <wp:docPr id="9" name="Picture 9"/>
            <wp:cNvGraphicFramePr>
              <a:graphicFrameLocks noChangeAspect="1"/>
            </wp:cNvGraphicFramePr>
            <a:graphic>
              <a:graphicData uri="http://schemas.openxmlformats.org/drawingml/2006/picture">
                <pic:pic>
                  <pic:nvPicPr>
                    <pic:cNvPr id="0" name="paper_feature_importance.png"/>
                    <pic:cNvPicPr/>
                  </pic:nvPicPr>
                  <pic:blipFill>
                    <a:blip r:embed="rId17"/>
                    <a:stretch>
                      <a:fillRect/>
                    </a:stretch>
                  </pic:blipFill>
                  <pic:spPr>
                    <a:xfrm>
                      <a:off x="0" y="0"/>
                      <a:ext cx="2880000" cy="229697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9. LightGBM modelinde ilk yirmi özniteliğin normalleştirilmiş önem skorları. Spektral düzlük standart sapması açık bir farkla ilk sırada.</w:t>
      </w:r>
    </w:p>
    <w:p>
      <w:pPr>
        <w:spacing w:before="0" w:after="160"/>
        <w:jc w:val="center"/>
      </w:pPr>
      <w:r>
        <w:rPr>
          <w:rFonts w:ascii="Times New Roman" w:hAnsi="Times New Roman" w:cs="Times New Roman" w:eastAsia="Times New Roman"/>
          <w:b w:val="0"/>
          <w:i/>
          <w:color w:val="333333"/>
          <w:sz w:val="17"/>
        </w:rPr>
        <w:t>(Top-twenty feature importances in LightGBM (normalised). spectral_flatness_std leads by a clear margin.)</w:t>
      </w:r>
    </w:p>
    <w:p>
      <w:pPr>
        <w:spacing w:before="200" w:after="40"/>
        <w:jc w:val="center"/>
        <w:keepNext/>
      </w:pPr>
      <w:r>
        <w:drawing>
          <wp:inline xmlns:a="http://schemas.openxmlformats.org/drawingml/2006/main" xmlns:pic="http://schemas.openxmlformats.org/drawingml/2006/picture">
            <wp:extent cx="3060000" cy="3242127"/>
            <wp:docPr id="10" name="Picture 10"/>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3060000" cy="324212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10. 2.000 örneklik bir CV diliminde LightGBM için TreeSHAP global etki diyagramı; her nokta tek bir örneği, yatay konum SHAP değerini, renk ise öznitelik büyüklüğünü kodlamaktadır.</w:t>
      </w:r>
    </w:p>
    <w:p>
      <w:pPr>
        <w:spacing w:before="0" w:after="160"/>
        <w:jc w:val="center"/>
      </w:pPr>
      <w:r>
        <w:rPr>
          <w:rFonts w:ascii="Times New Roman" w:hAnsi="Times New Roman" w:cs="Times New Roman" w:eastAsia="Times New Roman"/>
          <w:b w:val="0"/>
          <w:i/>
          <w:color w:val="333333"/>
          <w:sz w:val="17"/>
        </w:rPr>
        <w:t>(TreeSHAP global effect plot for LightGBM on a 2,000-sample CV slice; each point is one sample, horizontal position is the SHAP value, colour encodes feature magnitude.)</w:t>
      </w:r>
    </w:p>
    <w:p>
      <w:pPr>
        <w:spacing w:before="160" w:after="40" w:line="240" w:lineRule="auto"/>
        <w:jc w:val="left"/>
        <w:keepNext/>
      </w:pPr>
      <w:r>
        <w:rPr>
          <w:rFonts w:ascii="Times New Roman" w:hAnsi="Times New Roman" w:cs="Times New Roman" w:eastAsia="Times New Roman"/>
          <w:b/>
          <w:i/>
          <w:color w:val="333333"/>
          <w:sz w:val="17"/>
        </w:rPr>
        <w:t>3.5. Karmaşıklık Matrisi, Skor Dağılımı ve Kalibrasyon (Confusion Matrix, Score Distribution and Calibration)</w:t>
      </w:r>
    </w:p>
    <w:p>
      <w:pPr>
        <w:spacing w:line="240" w:lineRule="auto" w:before="0" w:after="120"/>
        <w:ind w:firstLine="283"/>
        <w:jc w:val="both"/>
      </w:pPr>
      <w:r>
        <w:rPr>
          <w:rFonts w:ascii="Times New Roman" w:hAnsi="Times New Roman" w:cs="Times New Roman" w:eastAsia="Times New Roman"/>
          <w:b w:val="0"/>
          <w:i w:val="0"/>
          <w:color w:val="333333"/>
          <w:sz w:val="17"/>
        </w:rPr>
        <w:t>Şekil 11, LightGBM'in 5-katlı doğrulama tahminlerinin Youden-optimal eşik θ* = 0,4316 ile eşiklendiği durumda elde edilen karmaşıklık matrisini göstermektedir. Matris şu değerleri raporlamaktadır: 2.721 doğru negatif (insan örneklerinin %87,4'ü), 1.862 doğru pozitif (yapay zekâ örneklerinin %89,4'ü), 392 yanlış pozitif (insan örneklerinin %12,6'sı yapay zekâ olarak atanmış) ve 220 yanlış negatif (yapay zekâ örneklerinin %10,6'sı insan olarak atanmış). Yapay zekâ sınıfı için duyarlılık (%89,4) insan örnekleri için özgüllük (%87,4) ile esasen dengelidir; küçük asimetri Youden ölçütünden kaynaklanmaktadır.</w:t>
      </w:r>
    </w:p>
    <w:p>
      <w:pPr>
        <w:spacing w:before="200" w:after="40"/>
        <w:jc w:val="center"/>
        <w:keepNext/>
      </w:pPr>
      <w:r>
        <w:drawing>
          <wp:inline xmlns:a="http://schemas.openxmlformats.org/drawingml/2006/main" xmlns:pic="http://schemas.openxmlformats.org/drawingml/2006/picture">
            <wp:extent cx="3060000" cy="2696274"/>
            <wp:docPr id="11" name="Picture 11"/>
            <wp:cNvGraphicFramePr>
              <a:graphicFrameLocks noChangeAspect="1"/>
            </wp:cNvGraphicFramePr>
            <a:graphic>
              <a:graphicData uri="http://schemas.openxmlformats.org/drawingml/2006/picture">
                <pic:pic>
                  <pic:nvPicPr>
                    <pic:cNvPr id="0" name="paper_confusion_matrix_lightgbm.png"/>
                    <pic:cNvPicPr/>
                  </pic:nvPicPr>
                  <pic:blipFill>
                    <a:blip r:embed="rId19"/>
                    <a:stretch>
                      <a:fillRect/>
                    </a:stretch>
                  </pic:blipFill>
                  <pic:spPr>
                    <a:xfrm>
                      <a:off x="0" y="0"/>
                      <a:ext cx="3060000" cy="2696274"/>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11. LightGBM için Youden-optimal eşik θ* = 0,4316 altında karmaşıklık matrisi. Hücreler örnek sayıları ve ilgili sınıf-içi yüzdeleri göstermektedir.</w:t>
      </w:r>
    </w:p>
    <w:p>
      <w:pPr>
        <w:spacing w:before="0" w:after="160"/>
        <w:jc w:val="center"/>
      </w:pPr>
      <w:r>
        <w:rPr>
          <w:rFonts w:ascii="Times New Roman" w:hAnsi="Times New Roman" w:cs="Times New Roman" w:eastAsia="Times New Roman"/>
          <w:b w:val="0"/>
          <w:i/>
          <w:color w:val="333333"/>
          <w:sz w:val="17"/>
        </w:rPr>
        <w:t>(Confusion matrix for LightGBM at the Youden-optimal threshold θ* = 0.4316. Cells show sample counts and corresponding within-class percentages.)</w:t>
      </w:r>
    </w:p>
    <w:p>
      <w:pPr>
        <w:spacing w:line="240" w:lineRule="auto" w:before="0" w:after="120"/>
        <w:ind w:firstLine="283"/>
        <w:jc w:val="both"/>
      </w:pPr>
      <w:r>
        <w:rPr>
          <w:rFonts w:ascii="Times New Roman" w:hAnsi="Times New Roman" w:cs="Times New Roman" w:eastAsia="Times New Roman"/>
          <w:b w:val="0"/>
          <w:i w:val="0"/>
          <w:color w:val="333333"/>
          <w:sz w:val="17"/>
        </w:rPr>
        <w:t>Şekil 12, insan ve yapay zekâ sınıfları için P(AI) tahmini olasılık dağılımlarını ayrı ayrı çizmektedir. İki dağılım iyi ayrılmıştır; örtüşme yalnızca 0,4-0,6 merkezi bölgede önemli ölçüde mevcuttur. Kesik çizgi Youden-optimal eşiği işaretlemektedir; eşiğin simetrik 0,5 değerinin solunda konumlanması sınıf dengesizliği (yapay zekâ : insan ≈ 1 : 1,5) ile J(θ) maksimizasyonunun birleşik etkisini yansıtmaktadır. Şekil 13, kalibrasyon eğrisini sunmaktadır. Eğri olasılık aralığı boyunca köşegene yakın seyretmekte ve Brier skoru 0,083 olarak ölçülmektedir; bu değer, üretilen olasılıkların gerçek arka olasılığın güvenilir tahminleri olduğunu doğrulamaktadır.</w:t>
      </w:r>
    </w:p>
    <w:p>
      <w:pPr>
        <w:spacing w:before="200" w:after="40"/>
        <w:jc w:val="center"/>
        <w:keepNext/>
      </w:pPr>
      <w:r>
        <w:drawing>
          <wp:inline xmlns:a="http://schemas.openxmlformats.org/drawingml/2006/main" xmlns:pic="http://schemas.openxmlformats.org/drawingml/2006/picture">
            <wp:extent cx="2880000" cy="1841037"/>
            <wp:docPr id="12" name="Picture 12"/>
            <wp:cNvGraphicFramePr>
              <a:graphicFrameLocks noChangeAspect="1"/>
            </wp:cNvGraphicFramePr>
            <a:graphic>
              <a:graphicData uri="http://schemas.openxmlformats.org/drawingml/2006/picture">
                <pic:pic>
                  <pic:nvPicPr>
                    <pic:cNvPr id="0" name="paper_score_distribution.png"/>
                    <pic:cNvPicPr/>
                  </pic:nvPicPr>
                  <pic:blipFill>
                    <a:blip r:embed="rId20"/>
                    <a:stretch>
                      <a:fillRect/>
                    </a:stretch>
                  </pic:blipFill>
                  <pic:spPr>
                    <a:xfrm>
                      <a:off x="0" y="0"/>
                      <a:ext cx="2880000" cy="1841037"/>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12. İnsan (yeşil) ve yapay zekâ (kırmızı) örnekleri için P(AI) tahmin olasılık dağılımları. Kesik çizgi Youden-optimal karar eşiği θ* = 0,4316.</w:t>
      </w:r>
    </w:p>
    <w:p>
      <w:pPr>
        <w:spacing w:before="0" w:after="160"/>
        <w:jc w:val="center"/>
      </w:pPr>
      <w:r>
        <w:rPr>
          <w:rFonts w:ascii="Times New Roman" w:hAnsi="Times New Roman" w:cs="Times New Roman" w:eastAsia="Times New Roman"/>
          <w:b w:val="0"/>
          <w:i/>
          <w:color w:val="333333"/>
          <w:sz w:val="17"/>
        </w:rPr>
        <w:t>(Predicted-probability distributions of P(AI) for human (green) and AI (red) samples. Dashed line marks the Youden-optimal decision threshold θ* = 0.4316.)</w:t>
      </w:r>
    </w:p>
    <w:p>
      <w:pPr>
        <w:spacing w:before="200" w:after="40"/>
        <w:jc w:val="center"/>
        <w:keepNext/>
      </w:pPr>
      <w:r>
        <w:drawing>
          <wp:inline xmlns:a="http://schemas.openxmlformats.org/drawingml/2006/main" xmlns:pic="http://schemas.openxmlformats.org/drawingml/2006/picture">
            <wp:extent cx="3060000" cy="2907812"/>
            <wp:docPr id="13" name="Picture 13"/>
            <wp:cNvGraphicFramePr>
              <a:graphicFrameLocks noChangeAspect="1"/>
            </wp:cNvGraphicFramePr>
            <a:graphic>
              <a:graphicData uri="http://schemas.openxmlformats.org/drawingml/2006/picture">
                <pic:pic>
                  <pic:nvPicPr>
                    <pic:cNvPr id="0" name="paper_calibration.png"/>
                    <pic:cNvPicPr/>
                  </pic:nvPicPr>
                  <pic:blipFill>
                    <a:blip r:embed="rId21"/>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13. LightGBM için kalibrasyon eğrisi. Köşegen ideal kalibrasyona karşılık gelir; Brier skoru = 0,083.</w:t>
      </w:r>
    </w:p>
    <w:p>
      <w:pPr>
        <w:spacing w:before="0" w:after="160"/>
        <w:jc w:val="center"/>
      </w:pPr>
      <w:r>
        <w:rPr>
          <w:rFonts w:ascii="Times New Roman" w:hAnsi="Times New Roman" w:cs="Times New Roman" w:eastAsia="Times New Roman"/>
          <w:b w:val="0"/>
          <w:i/>
          <w:color w:val="333333"/>
          <w:sz w:val="17"/>
        </w:rPr>
        <w:t>(Calibration curve for LightGBM. Diagonal corresponds to perfect calibration; Brier score = 0.083.)</w:t>
      </w:r>
    </w:p>
    <w:p>
      <w:pPr>
        <w:spacing w:before="200" w:after="40"/>
        <w:jc w:val="center"/>
        <w:keepNext/>
      </w:pPr>
      <w:r>
        <w:drawing>
          <wp:inline xmlns:a="http://schemas.openxmlformats.org/drawingml/2006/main" xmlns:pic="http://schemas.openxmlformats.org/drawingml/2006/picture">
            <wp:extent cx="3060000" cy="2907812"/>
            <wp:docPr id="14" name="Picture 14"/>
            <wp:cNvGraphicFramePr>
              <a:graphicFrameLocks noChangeAspect="1"/>
            </wp:cNvGraphicFramePr>
            <a:graphic>
              <a:graphicData uri="http://schemas.openxmlformats.org/drawingml/2006/picture">
                <pic:pic>
                  <pic:nvPicPr>
                    <pic:cNvPr id="0" name="paper_precision_recall.png"/>
                    <pic:cNvPicPr/>
                  </pic:nvPicPr>
                  <pic:blipFill>
                    <a:blip r:embed="rId22"/>
                    <a:stretch>
                      <a:fillRect/>
                    </a:stretch>
                  </pic:blipFill>
                  <pic:spPr>
                    <a:xfrm>
                      <a:off x="0" y="0"/>
                      <a:ext cx="3060000" cy="290781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14. LightGBM için kesinlik-duyarlılık eğrisi; ortalama kesinlik 0,934 olarak ölçülmüştür ve sınıf oranı 1:1,5 için ima edilen 0,401 baz çizgisinin çok üstündedir.</w:t>
      </w:r>
    </w:p>
    <w:p>
      <w:pPr>
        <w:spacing w:before="0" w:after="160"/>
        <w:jc w:val="center"/>
      </w:pPr>
      <w:r>
        <w:rPr>
          <w:rFonts w:ascii="Times New Roman" w:hAnsi="Times New Roman" w:cs="Times New Roman" w:eastAsia="Times New Roman"/>
          <w:b w:val="0"/>
          <w:i/>
          <w:color w:val="333333"/>
          <w:sz w:val="17"/>
        </w:rPr>
        <w:t>(Precision-recall curve for LightGBM; average precision is 0.934, well above the no-skill baseline of 0.401 implied by the 1:1.5 class ratio.)</w:t>
      </w:r>
    </w:p>
    <w:p>
      <w:pPr>
        <w:spacing w:before="160" w:after="40" w:line="240" w:lineRule="auto"/>
        <w:jc w:val="left"/>
        <w:keepNext/>
      </w:pPr>
      <w:r>
        <w:rPr>
          <w:rFonts w:ascii="Times New Roman" w:hAnsi="Times New Roman" w:cs="Times New Roman" w:eastAsia="Times New Roman"/>
          <w:b/>
          <w:i/>
          <w:color w:val="333333"/>
          <w:sz w:val="17"/>
        </w:rPr>
        <w:t>3.6. Eşik Taraması ve Karar Çalışma Noktaları (Threshold Sweep and Decision Operating Points)</w:t>
      </w:r>
    </w:p>
    <w:p>
      <w:pPr>
        <w:spacing w:line="240" w:lineRule="auto" w:before="0" w:after="120"/>
        <w:ind w:firstLine="283"/>
        <w:jc w:val="both"/>
      </w:pPr>
      <w:r>
        <w:rPr>
          <w:rFonts w:ascii="Times New Roman" w:hAnsi="Times New Roman" w:cs="Times New Roman" w:eastAsia="Times New Roman"/>
          <w:b w:val="0"/>
          <w:i w:val="0"/>
          <w:color w:val="333333"/>
          <w:sz w:val="17"/>
        </w:rPr>
        <w:t>Şekil 15, kesinlik, duyarlılık, F1 ve doğruluğun karar eşiğine göre nasıl değiştiğini göstermektedir. F1 skoru 0,40-0,50 aralığında bir plato oluşturmakta; Youden-optimal eşik bu platonun sol kenarında konumlanmaktadır. Bu örüntü, farklı çalıştırma maliyetlerine sahip kullanıcıların eğri üzerinde güvenle hareket edebileceğini göstermektedir.</w:t>
      </w:r>
    </w:p>
    <w:p>
      <w:pPr>
        <w:spacing w:before="200" w:after="40"/>
        <w:jc w:val="center"/>
        <w:keepNext/>
      </w:pPr>
      <w:r>
        <w:drawing>
          <wp:inline xmlns:a="http://schemas.openxmlformats.org/drawingml/2006/main" xmlns:pic="http://schemas.openxmlformats.org/drawingml/2006/picture">
            <wp:extent cx="2880000" cy="2018350"/>
            <wp:docPr id="15" name="Picture 15"/>
            <wp:cNvGraphicFramePr>
              <a:graphicFrameLocks noChangeAspect="1"/>
            </wp:cNvGraphicFramePr>
            <a:graphic>
              <a:graphicData uri="http://schemas.openxmlformats.org/drawingml/2006/picture">
                <pic:pic>
                  <pic:nvPicPr>
                    <pic:cNvPr id="0" name="threshold_sweep.png"/>
                    <pic:cNvPicPr/>
                  </pic:nvPicPr>
                  <pic:blipFill>
                    <a:blip r:embed="rId23"/>
                    <a:stretch>
                      <a:fillRect/>
                    </a:stretch>
                  </pic:blipFill>
                  <pic:spPr>
                    <a:xfrm>
                      <a:off x="0" y="0"/>
                      <a:ext cx="2880000" cy="2018350"/>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15. LightGBM için karar eşiğine karşı kesinlik, duyarlılık ve F1 taraması. Youden-J optimumu θ* = 0,4316 kesik çizgi ile işaretlenmiştir.</w:t>
      </w:r>
    </w:p>
    <w:p>
      <w:pPr>
        <w:spacing w:before="0" w:after="160"/>
        <w:jc w:val="center"/>
      </w:pPr>
      <w:r>
        <w:rPr>
          <w:rFonts w:ascii="Times New Roman" w:hAnsi="Times New Roman" w:cs="Times New Roman" w:eastAsia="Times New Roman"/>
          <w:b w:val="0"/>
          <w:i/>
          <w:color w:val="333333"/>
          <w:sz w:val="17"/>
        </w:rPr>
        <w:t>(Threshold sweep of precision, recall and F1 versus decision threshold for LightGBM. Youden-J optimum θ* = 0.4316 is marked with the dashed line.)</w:t>
      </w:r>
    </w:p>
    <w:p>
      <w:pPr>
        <w:spacing w:before="160" w:after="40" w:line="240" w:lineRule="auto"/>
        <w:jc w:val="left"/>
        <w:keepNext/>
      </w:pPr>
      <w:r>
        <w:rPr>
          <w:rFonts w:ascii="Times New Roman" w:hAnsi="Times New Roman" w:cs="Times New Roman" w:eastAsia="Times New Roman"/>
          <w:b/>
          <w:i/>
          <w:color w:val="333333"/>
          <w:sz w:val="17"/>
        </w:rPr>
        <w:t>3.7. Üretici Bazlı Performans (Per-Generator Performance)</w:t>
      </w:r>
    </w:p>
    <w:p>
      <w:pPr>
        <w:spacing w:line="240" w:lineRule="auto" w:before="0" w:after="120"/>
        <w:ind w:firstLine="283"/>
        <w:jc w:val="both"/>
      </w:pPr>
      <w:r>
        <w:rPr>
          <w:rFonts w:ascii="Times New Roman" w:hAnsi="Times New Roman" w:cs="Times New Roman" w:eastAsia="Times New Roman"/>
          <w:b w:val="0"/>
          <w:i w:val="0"/>
          <w:color w:val="333333"/>
          <w:sz w:val="17"/>
        </w:rPr>
        <w:t>Veri kümesi 12'den fazla üretici sistemden örnek içerdiğinden, üretici bazlı performans toplam metriklerin ötesinde bilgilendiricidir. Şekil 16, LightGBM'in kaynak bazlı performansını sunmaktadır. Suno parçaları %93,0 duyarlılık (500'de 465) ile, Echoes %88,6 (1.128'de 999) ile kurtarılmaktadır. AImE alt kümesi (n=204) %79,9'a düşmektedir. Deepfake seti ise tam olarak %50,0'da kalmakta; yani bu parçaların yarısı tespit edilememektedir. İnsan tarafında, GTZAN (%93,2) ve FMA (%88,9) güvenilir biçimde tanınırken SleepyJesse kapak seti (n=854) %76,3'e düşmektedir. İki başarısızlık noktası -deepfake alt kümesi ve SleepyJesse kapakları- aynı yöne işaret etmektedir: akustik profili kendi sınıf etiketinin geri kalanından sistematik olarak farklı olan parçalar modeli zorlamaktadır. Bu durum Li vd. [5] tarafından vurgulanan üretici-modeller arası genelleme zorluğu ile tutarlıdır.</w:t>
      </w:r>
    </w:p>
    <w:p>
      <w:pPr>
        <w:spacing w:before="200" w:after="40"/>
        <w:jc w:val="center"/>
        <w:keepNext/>
      </w:pPr>
      <w:r>
        <w:drawing>
          <wp:inline xmlns:a="http://schemas.openxmlformats.org/drawingml/2006/main" xmlns:pic="http://schemas.openxmlformats.org/drawingml/2006/picture">
            <wp:extent cx="2880000" cy="1457688"/>
            <wp:docPr id="16" name="Picture 16"/>
            <wp:cNvGraphicFramePr>
              <a:graphicFrameLocks noChangeAspect="1"/>
            </wp:cNvGraphicFramePr>
            <a:graphic>
              <a:graphicData uri="http://schemas.openxmlformats.org/drawingml/2006/picture">
                <pic:pic>
                  <pic:nvPicPr>
                    <pic:cNvPr id="0" name="per_source_performance.png"/>
                    <pic:cNvPicPr/>
                  </pic:nvPicPr>
                  <pic:blipFill>
                    <a:blip r:embed="rId24"/>
                    <a:stretch>
                      <a:fillRect/>
                    </a:stretch>
                  </pic:blipFill>
                  <pic:spPr>
                    <a:xfrm>
                      <a:off x="0" y="0"/>
                      <a:ext cx="2880000" cy="145768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16. LightGBM'in 5-katlı çapraz doğrulama tahminleri üzerinde θ* = 0,4316 ile kaynak bazlı performansı. Yapay zekâ kaynakları (kırmızı) AI sınıfı duyarlılığı ile, insan kaynakları (yeşil) özgüllük ile değerlendirilmiştir.</w:t>
      </w:r>
    </w:p>
    <w:p>
      <w:pPr>
        <w:spacing w:before="0" w:after="160"/>
        <w:jc w:val="center"/>
      </w:pPr>
      <w:r>
        <w:rPr>
          <w:rFonts w:ascii="Times New Roman" w:hAnsi="Times New Roman" w:cs="Times New Roman" w:eastAsia="Times New Roman"/>
          <w:b w:val="0"/>
          <w:i/>
          <w:color w:val="333333"/>
          <w:sz w:val="17"/>
        </w:rPr>
        <w:t>(Per-source LightGBM performance on 5-fold CV predictions at θ* = 0.4316. AI sources (red) evaluated by AI-class recall; human sources (green) by specificity.)</w:t>
      </w:r>
    </w:p>
    <w:p>
      <w:pPr>
        <w:spacing w:before="200" w:after="40"/>
        <w:jc w:val="center"/>
        <w:keepNext/>
      </w:pPr>
      <w:r>
        <w:drawing>
          <wp:inline xmlns:a="http://schemas.openxmlformats.org/drawingml/2006/main" xmlns:pic="http://schemas.openxmlformats.org/drawingml/2006/picture">
            <wp:extent cx="2880000" cy="1998338"/>
            <wp:docPr id="17" name="Picture 17"/>
            <wp:cNvGraphicFramePr>
              <a:graphicFrameLocks noChangeAspect="1"/>
            </wp:cNvGraphicFramePr>
            <a:graphic>
              <a:graphicData uri="http://schemas.openxmlformats.org/drawingml/2006/picture">
                <pic:pic>
                  <pic:nvPicPr>
                    <pic:cNvPr id="0" name="per_class_metrics.png"/>
                    <pic:cNvPicPr/>
                  </pic:nvPicPr>
                  <pic:blipFill>
                    <a:blip r:embed="rId25"/>
                    <a:stretch>
                      <a:fillRect/>
                    </a:stretch>
                  </pic:blipFill>
                  <pic:spPr>
                    <a:xfrm>
                      <a:off x="0" y="0"/>
                      <a:ext cx="2880000" cy="1998338"/>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17. LightGBM için sınıf bazlı kesinlik, duyarlılık ve F1 değerleri.</w:t>
      </w:r>
    </w:p>
    <w:p>
      <w:pPr>
        <w:spacing w:before="0" w:after="160"/>
        <w:jc w:val="center"/>
      </w:pPr>
      <w:r>
        <w:rPr>
          <w:rFonts w:ascii="Times New Roman" w:hAnsi="Times New Roman" w:cs="Times New Roman" w:eastAsia="Times New Roman"/>
          <w:b w:val="0"/>
          <w:i/>
          <w:color w:val="333333"/>
          <w:sz w:val="17"/>
        </w:rPr>
        <w:t>(Per-class precision, recall and F1 for LightGBM.)</w:t>
      </w:r>
    </w:p>
    <w:p>
      <w:pPr>
        <w:spacing w:before="160" w:after="40" w:line="240" w:lineRule="auto"/>
        <w:jc w:val="left"/>
        <w:keepNext/>
      </w:pPr>
      <w:r>
        <w:rPr>
          <w:rFonts w:ascii="Times New Roman" w:hAnsi="Times New Roman" w:cs="Times New Roman" w:eastAsia="Times New Roman"/>
          <w:b/>
          <w:i/>
          <w:color w:val="333333"/>
          <w:sz w:val="17"/>
        </w:rPr>
        <w:t>3.8. Spektral Düzlüğün Baskınlığı Neden? (Why Spectral Flatness Dominates)</w:t>
      </w:r>
    </w:p>
    <w:p>
      <w:pPr>
        <w:spacing w:line="240" w:lineRule="auto" w:before="0" w:after="120"/>
        <w:ind w:firstLine="283"/>
        <w:jc w:val="both"/>
      </w:pPr>
      <w:r>
        <w:rPr>
          <w:rFonts w:ascii="Times New Roman" w:hAnsi="Times New Roman" w:cs="Times New Roman" w:eastAsia="Times New Roman"/>
          <w:b w:val="0"/>
          <w:i w:val="0"/>
          <w:color w:val="333333"/>
          <w:sz w:val="17"/>
        </w:rPr>
        <w:t>Spektral düzlüğün öznitelik önem sıralamasındaki baskınlığı, daha geniş ses derin sahte literatürü ile tutarlı ve yorumlanabilir bir bulgudur [6]. Spektral düzlük, bir sinyalin güç spektrumunun geometrik ve aritmetik ortalamaları arasındaki oranı ölçmekte ve spektrumun ne kadar tonal veya gürültü-benzeri olduğunu yakalamaktadır. Güncel yapay zekâ üretim sistemleri, algısal kalite ölçütlerini -ki bu ölçütler tonal zenginliği desteklemektedir- optimize etme eğilimindedir ve bunun yan etkisi olarak spektrumları insan kayıtlarınınkinden sistematik olarak daha temiz olan sinyaller üretmektedir. İnsan kayıtları buna karşın kayıt ortamlarının, mikrofon ön-yükselticilerinin ve enstrümantal performansın katkıda bulunduğu geniş bantlı gürültüyü taşımaktadır.</w:t>
      </w:r>
    </w:p>
    <w:p>
      <w:pPr>
        <w:spacing w:before="160" w:after="40" w:line="240" w:lineRule="auto"/>
        <w:jc w:val="left"/>
        <w:keepNext/>
      </w:pPr>
      <w:r>
        <w:rPr>
          <w:rFonts w:ascii="Times New Roman" w:hAnsi="Times New Roman" w:cs="Times New Roman" w:eastAsia="Times New Roman"/>
          <w:b/>
          <w:i/>
          <w:color w:val="333333"/>
          <w:sz w:val="17"/>
        </w:rPr>
        <w:t>3.9. Üretici Modeller Arası Genelleme (Cross-Generator Generalisation)</w:t>
      </w:r>
    </w:p>
    <w:p>
      <w:pPr>
        <w:spacing w:line="240" w:lineRule="auto" w:before="0" w:after="120"/>
        <w:ind w:firstLine="283"/>
        <w:jc w:val="both"/>
      </w:pPr>
      <w:r>
        <w:rPr>
          <w:rFonts w:ascii="Times New Roman" w:hAnsi="Times New Roman" w:cs="Times New Roman" w:eastAsia="Times New Roman"/>
          <w:b w:val="0"/>
          <w:i w:val="0"/>
          <w:color w:val="333333"/>
          <w:sz w:val="17"/>
        </w:rPr>
        <w:t>Veri kümesi otoregresif modellerden (MusicGen [1]) difüzyon-tabanlı sistemlere (AudioLDM [2]) ve ticari üreticilere (Suno, Udio) kadar on iki veya daha fazla yapay zekâ üretim sistemini kapsamaktadır. Bu çeşitliliğin amacı, modeli tek bir üretici ailenin parmak izlerine aşırı uydurmaktan kaçınmaktır. §3.7'de raporlanan kaynak bazlı sonuçlar, bu yaklaşımın kısmen başarılı olduğunu göstermektedir; Suno ve Echoes parçalarında %88-93 duyarlılık elde edilmekte ancak deepfake alt kümesinde performans %50'ye düşmektedir. Bu sonuç, Li vd. [5] tarafından alanın açık problemi olarak işaret edilen üretici-modeller arası genelleme zorluğunu doğrulamaktadır.</w:t>
      </w:r>
    </w:p>
    <w:p>
      <w:pPr>
        <w:spacing w:before="160" w:after="40" w:line="240" w:lineRule="auto"/>
        <w:jc w:val="left"/>
        <w:keepNext/>
      </w:pPr>
      <w:r>
        <w:rPr>
          <w:rFonts w:ascii="Times New Roman" w:hAnsi="Times New Roman" w:cs="Times New Roman" w:eastAsia="Times New Roman"/>
          <w:b/>
          <w:i/>
          <w:color w:val="333333"/>
          <w:sz w:val="17"/>
        </w:rPr>
        <w:t>3.10. 1D-CNN Neden Düşük Performans Gösteriyor? (Why the 1D-CNN Underperforms)</w:t>
      </w:r>
    </w:p>
    <w:p>
      <w:pPr>
        <w:spacing w:line="240" w:lineRule="auto" w:before="0" w:after="120"/>
        <w:ind w:firstLine="283"/>
        <w:jc w:val="both"/>
      </w:pPr>
      <w:r>
        <w:rPr>
          <w:rFonts w:ascii="Times New Roman" w:hAnsi="Times New Roman" w:cs="Times New Roman" w:eastAsia="Times New Roman"/>
          <w:b w:val="0"/>
          <w:i w:val="0"/>
          <w:color w:val="333333"/>
          <w:sz w:val="17"/>
        </w:rPr>
        <w:t>1D-CNN'nin diğer mimarilere kıyasla belirgin biçimde düşük performansı (ROC-AUC = 0,8543) mimari bir uyumsuzluğun sonucudur. Tek boyutlu konvolüsyon, bir dizi boyunca yerel korelasyonları sömürmek üzere tasarlanmıştır; ancak AURIS'in girişi sıralanmamış 47 boyutlu düz bir öznitelik vektörüdür ve vektörün bitişik indeksleri ilgisiz miktarlara karşılık gelmektedir -bir spektral istatistik yanında bir tempo istatistiği, yanında bir vokal skor-. Bu liste boyunca bir çekirdek kaydıran konvolüsyonun öğreneceği anlamlı bir öteleme değişmezliği bulunmamaktadır. Sonuç olarak 1D-CNN, vektörü bir bütün olarak işleyen diğer üç DL mimarisinin gerisinde kalmakta ve doğrulukta Lojistik Regresyon tarafından bile geçilmektedir.</w:t>
      </w:r>
    </w:p>
    <w:p>
      <w:pPr>
        <w:spacing w:before="160" w:after="40" w:line="240" w:lineRule="auto"/>
        <w:jc w:val="left"/>
        <w:keepNext/>
      </w:pPr>
      <w:r>
        <w:rPr>
          <w:rFonts w:ascii="Times New Roman" w:hAnsi="Times New Roman" w:cs="Times New Roman" w:eastAsia="Times New Roman"/>
          <w:b/>
          <w:i/>
          <w:color w:val="333333"/>
          <w:sz w:val="17"/>
        </w:rPr>
        <w:t>3.11. Kalibrasyon ve Operasyonel Yararlılık (Calibration and Operational Utility)</w:t>
      </w:r>
    </w:p>
    <w:p>
      <w:pPr>
        <w:spacing w:line="240" w:lineRule="auto" w:before="0" w:after="120"/>
        <w:ind w:firstLine="283"/>
        <w:jc w:val="both"/>
      </w:pPr>
      <w:r>
        <w:rPr>
          <w:rFonts w:ascii="Times New Roman" w:hAnsi="Times New Roman" w:cs="Times New Roman" w:eastAsia="Times New Roman"/>
          <w:b w:val="0"/>
          <w:i w:val="0"/>
          <w:color w:val="333333"/>
          <w:sz w:val="17"/>
        </w:rPr>
        <w:t>Tespit sistemlerinin operasyonel konuşlandırmaları çoğunlukla bir hedef kesinlik veya duyarlılık üzerinden bir karar noktası seçmeyi gerektirir. 0,083 Brier skoru bunu mümkün kılmaktadır; çünkü tahmin edilen olasılıklar gerçek arka olasılığa yakın karşılık gelmektedir. Bu, 0,7 eşiğinin gerçekten '%70 güvenli' anlamına geldiğini, 'skor dağılımının 70. yüzdelik dilimi' anlamına gelmediğini ifade eder. Youden-optimal kesim noktası 0,4316, mevcut sınıf oranı altında dengeli doğruluk için ilkesel bir varsayılan değerdir; ancak farklı operasyonel maliyetlere sahip kullanıcılar Şekil 15'te görselleştirilen eğri boyunca eşiği güvenle hareket ettirebilir.</w:t>
      </w:r>
    </w:p>
    <w:p>
      <w:pPr>
        <w:spacing w:before="160" w:after="40" w:line="240" w:lineRule="auto"/>
        <w:jc w:val="left"/>
        <w:keepNext/>
      </w:pPr>
      <w:r>
        <w:rPr>
          <w:rFonts w:ascii="Times New Roman" w:hAnsi="Times New Roman" w:cs="Times New Roman" w:eastAsia="Times New Roman"/>
          <w:b/>
          <w:i/>
          <w:color w:val="333333"/>
          <w:sz w:val="17"/>
        </w:rPr>
        <w:t>3.12. Aşırı Öğrenme Tanısı (Overfit Diagnosis)</w:t>
      </w:r>
    </w:p>
    <w:p>
      <w:pPr>
        <w:spacing w:line="240" w:lineRule="auto" w:before="0" w:after="120"/>
        <w:ind w:firstLine="283"/>
        <w:jc w:val="both"/>
      </w:pPr>
      <w:r>
        <w:rPr>
          <w:rFonts w:ascii="Times New Roman" w:hAnsi="Times New Roman" w:cs="Times New Roman" w:eastAsia="Times New Roman"/>
          <w:b w:val="0"/>
          <w:i w:val="0"/>
          <w:color w:val="333333"/>
          <w:sz w:val="17"/>
        </w:rPr>
        <w:t>Topluluğun ezberleyip ezberlemediğini doğrudan sorgulamanın bir yolu, her modelin eğitim doğruluğunu 5-katlı çapraz doğrulama doğruluğu ile karşılaştırmaktır. Şekil 18, sonucu raporlamaktadır. Rastgele Orman %100,0 eğitim doğruluğuna karşı CV altında %86,1'e ulaşmakta; bu 13,9 puanlık bir fark anlamına gelmektedir. LightGBM ve SVM sırasıyla 12,0 ve 13,4 puanlık farklarla yakın takipte. XGBoost ve Gradyan Artırma bile -daha güçlü yerleşik düzenleştirmelerine rağmen- 8-9 puanlık bir fark sergilemektedir. Eğitim ve CV doğruluklarının esasen örtüştüğü tek topluluk üyesi 0,6 puanlık fark ile Lojistik Regresyondur. Bu örüntü bilgilendiricidir: ağaç toplulukları, 5-katlı CV'nin yakaladığı ama tek bir eğitim/test bölünmesinin yakalamayacağı gerçek bir aşırı öğrenme taşımaktadır. Nihai %88,0 CV doğruluğu (LightGBM) anlamlı bir tavan olarak okunmalı, rahat bir marj olarak değil.</w:t>
      </w:r>
    </w:p>
    <w:p>
      <w:pPr>
        <w:spacing w:before="200" w:after="40"/>
        <w:jc w:val="center"/>
        <w:keepNext/>
      </w:pPr>
      <w:r>
        <w:drawing>
          <wp:inline xmlns:a="http://schemas.openxmlformats.org/drawingml/2006/main" xmlns:pic="http://schemas.openxmlformats.org/drawingml/2006/picture">
            <wp:extent cx="2880000" cy="1837241"/>
            <wp:docPr id="18" name="Picture 18"/>
            <wp:cNvGraphicFramePr>
              <a:graphicFrameLocks noChangeAspect="1"/>
            </wp:cNvGraphicFramePr>
            <a:graphic>
              <a:graphicData uri="http://schemas.openxmlformats.org/drawingml/2006/picture">
                <pic:pic>
                  <pic:nvPicPr>
                    <pic:cNvPr id="0" name="train_val_gap.png"/>
                    <pic:cNvPicPr/>
                  </pic:nvPicPr>
                  <pic:blipFill>
                    <a:blip r:embed="rId26"/>
                    <a:stretch>
                      <a:fillRect/>
                    </a:stretch>
                  </pic:blipFill>
                  <pic:spPr>
                    <a:xfrm>
                      <a:off x="0" y="0"/>
                      <a:ext cx="2880000" cy="183724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18. Yedi öznitelik tabanlı modelin eğitim ve 5-katlı çapraz doğrulama doğrulukları. Fark, her modelin nominal doğruluğunun ne kadarının eğitim setini ezberlemekten geldiğini ölçmektedir.</w:t>
      </w:r>
    </w:p>
    <w:p>
      <w:pPr>
        <w:spacing w:before="0" w:after="160"/>
        <w:jc w:val="center"/>
      </w:pPr>
      <w:r>
        <w:rPr>
          <w:rFonts w:ascii="Times New Roman" w:hAnsi="Times New Roman" w:cs="Times New Roman" w:eastAsia="Times New Roman"/>
          <w:b w:val="0"/>
          <w:i/>
          <w:color w:val="333333"/>
          <w:sz w:val="17"/>
        </w:rPr>
        <w:t>(Train versus 5-fold cross-validation accuracy for the seven feature-based models. The gap quantifies how much of each model's nominal accuracy comes from memorising the training set.)</w:t>
      </w:r>
    </w:p>
    <w:p>
      <w:pPr>
        <w:spacing w:before="160" w:after="40" w:line="240" w:lineRule="auto"/>
        <w:jc w:val="left"/>
        <w:keepNext/>
      </w:pPr>
      <w:r>
        <w:rPr>
          <w:rFonts w:ascii="Times New Roman" w:hAnsi="Times New Roman" w:cs="Times New Roman" w:eastAsia="Times New Roman"/>
          <w:b/>
          <w:i/>
          <w:color w:val="333333"/>
          <w:sz w:val="17"/>
        </w:rPr>
        <w:t>3.13. Öznitelik Fazlalığı (Feature Redundancy)</w:t>
      </w:r>
    </w:p>
    <w:p>
      <w:pPr>
        <w:spacing w:line="240" w:lineRule="auto" w:before="0" w:after="120"/>
        <w:ind w:firstLine="283"/>
        <w:jc w:val="both"/>
      </w:pPr>
      <w:r>
        <w:rPr>
          <w:rFonts w:ascii="Times New Roman" w:hAnsi="Times New Roman" w:cs="Times New Roman" w:eastAsia="Times New Roman"/>
          <w:b w:val="0"/>
          <w:i w:val="0"/>
          <w:color w:val="333333"/>
          <w:sz w:val="17"/>
        </w:rPr>
        <w:t>47 öznitelik tasarım gereği fazlalıklıdır -spektrum, ritim ve sesin örtüşen yönlerini kapsamaktadır- ancak fazlalık beklenenden ağırdır. Yirmi öznitelik çiftinin |Pearson r| değeri tüm veri kümesinde 0,85'in üzerindedir. Dört çift 0,97'yi aşmaktadır: has_vocals ile vocal_harmonic_ratio (r = 0,994), pitch_std_cents ile vibrato_extent_cents (0,983), vocal_texture_score ile vocal_harmonic_ratio (0,975) ve has_vocals ile vocal_texture_score (0,974). Vokal olmayan öznitelikler arasında spektral merkez, bant genişliği ve azalma ortalamaları sıkı bir küme oluşturmaktadır (ikili r &gt; 0,94). Şekil 19, tüm |r| matrisini çizmekte; aşağı-sağda yer alan koyu çapraz-dışı bloklar vokal öznitelik ailesine karşılık gelmektedir.</w:t>
      </w:r>
    </w:p>
    <w:p>
      <w:pPr>
        <w:spacing w:before="200" w:after="40"/>
        <w:jc w:val="center"/>
        <w:keepNext/>
      </w:pPr>
      <w:r>
        <w:drawing>
          <wp:inline xmlns:a="http://schemas.openxmlformats.org/drawingml/2006/main" xmlns:pic="http://schemas.openxmlformats.org/drawingml/2006/picture">
            <wp:extent cx="3060000" cy="2811001"/>
            <wp:docPr id="19" name="Picture 19"/>
            <wp:cNvGraphicFramePr>
              <a:graphicFrameLocks noChangeAspect="1"/>
            </wp:cNvGraphicFramePr>
            <a:graphic>
              <a:graphicData uri="http://schemas.openxmlformats.org/drawingml/2006/picture">
                <pic:pic>
                  <pic:nvPicPr>
                    <pic:cNvPr id="0" name="feature_correlation_heatmap.png"/>
                    <pic:cNvPicPr/>
                  </pic:nvPicPr>
                  <pic:blipFill>
                    <a:blip r:embed="rId27"/>
                    <a:stretch>
                      <a:fillRect/>
                    </a:stretch>
                  </pic:blipFill>
                  <pic:spPr>
                    <a:xfrm>
                      <a:off x="0" y="0"/>
                      <a:ext cx="3060000" cy="2811001"/>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19. 47 öznitelik arasında mutlak Pearson korelasyon ısı haritası (tüm 5.195 parça üzerinden). Koyu hücreler fazlalıklı çiftleri işaretlemektedir.</w:t>
      </w:r>
    </w:p>
    <w:p>
      <w:pPr>
        <w:spacing w:before="0" w:after="160"/>
        <w:jc w:val="center"/>
      </w:pPr>
      <w:r>
        <w:rPr>
          <w:rFonts w:ascii="Times New Roman" w:hAnsi="Times New Roman" w:cs="Times New Roman" w:eastAsia="Times New Roman"/>
          <w:b w:val="0"/>
          <w:i/>
          <w:color w:val="333333"/>
          <w:sz w:val="17"/>
        </w:rPr>
        <w:t>(Absolute Pearson correlation heatmap between the 47 features across all 5,195 tracks. Dark cells mark redundant pairs.)</w:t>
      </w:r>
    </w:p>
    <w:p>
      <w:pPr>
        <w:spacing w:before="160" w:after="40" w:line="240" w:lineRule="auto"/>
        <w:jc w:val="left"/>
        <w:keepNext/>
      </w:pPr>
      <w:r>
        <w:rPr>
          <w:rFonts w:ascii="Times New Roman" w:hAnsi="Times New Roman" w:cs="Times New Roman" w:eastAsia="Times New Roman"/>
          <w:b/>
          <w:i/>
          <w:color w:val="333333"/>
          <w:sz w:val="17"/>
        </w:rPr>
        <w:t>3.14. Kaç Öznitelik Gerçekten Gereklidir? (How Many Features Are Actually Needed?)</w:t>
      </w:r>
    </w:p>
    <w:p>
      <w:pPr>
        <w:spacing w:line="240" w:lineRule="auto" w:before="0" w:after="120"/>
        <w:ind w:firstLine="283"/>
        <w:jc w:val="both"/>
      </w:pPr>
      <w:r>
        <w:rPr>
          <w:rFonts w:ascii="Times New Roman" w:hAnsi="Times New Roman" w:cs="Times New Roman" w:eastAsia="Times New Roman"/>
          <w:b w:val="0"/>
          <w:i w:val="0"/>
          <w:color w:val="333333"/>
          <w:sz w:val="17"/>
        </w:rPr>
        <w:t>Şekil 20, bir öznitelik çıkarma deneyi raporlamaktadır. Öznitelikler LightGBM önemine göre sıralanmakta ve ilk-N için N ∈ {1, 3, 5, 10, 15, 20, 30, 47} değerleri aynı 5-katlı çapraz doğrulama hattından geçirilmektedir. Eğri N = 10'a kadar diktir -doğruluk %59,8'den (N=1), %78,1 (N=5), %84,7 (N=10) değerlerine yükselmektedir- ve sonrasında plato yapar. N = 20'de doğruluk %88,0, N = 30'da %88,7'ye ulaşmakta ve tüm 47 özniteliğin kullanılması %88,5 vermektedir -bu N = 30 ile bir standart sapma içinde eşdeğerdir. Başka bir deyişle, önem sırasına göre sondaki on yedi öznitelik ölçülebilir ek doğruluk sağlamamaktadır. Pratik bir konuşlandırma, kalite kaybı olmadan bu uzun kuyruğu kesebilir.</w:t>
      </w:r>
    </w:p>
    <w:p>
      <w:pPr>
        <w:spacing w:before="200" w:after="40"/>
        <w:jc w:val="center"/>
        <w:keepNext/>
      </w:pPr>
      <w:r>
        <w:drawing>
          <wp:inline xmlns:a="http://schemas.openxmlformats.org/drawingml/2006/main" xmlns:pic="http://schemas.openxmlformats.org/drawingml/2006/picture">
            <wp:extent cx="2880000" cy="1936552"/>
            <wp:docPr id="20" name="Picture 20"/>
            <wp:cNvGraphicFramePr>
              <a:graphicFrameLocks noChangeAspect="1"/>
            </wp:cNvGraphicFramePr>
            <a:graphic>
              <a:graphicData uri="http://schemas.openxmlformats.org/drawingml/2006/picture">
                <pic:pic>
                  <pic:nvPicPr>
                    <pic:cNvPr id="0" name="feature_ablation_curve.png"/>
                    <pic:cNvPicPr/>
                  </pic:nvPicPr>
                  <pic:blipFill>
                    <a:blip r:embed="rId28"/>
                    <a:stretch>
                      <a:fillRect/>
                    </a:stretch>
                  </pic:blipFill>
                  <pic:spPr>
                    <a:xfrm>
                      <a:off x="0" y="0"/>
                      <a:ext cx="2880000" cy="1936552"/>
                    </a:xfrm>
                    <a:prstGeom prst="rect"/>
                  </pic:spPr>
                </pic:pic>
              </a:graphicData>
            </a:graphic>
          </wp:inline>
        </w:drawing>
      </w:r>
    </w:p>
    <w:p>
      <w:pPr>
        <w:spacing w:before="40" w:after="0"/>
        <w:jc w:val="center"/>
        <w:keepNext/>
      </w:pPr>
      <w:r>
        <w:rPr>
          <w:rFonts w:ascii="Times New Roman" w:hAnsi="Times New Roman" w:cs="Times New Roman" w:eastAsia="Times New Roman"/>
          <w:b/>
          <w:i w:val="0"/>
          <w:color w:val="333333"/>
          <w:sz w:val="17"/>
        </w:rPr>
        <w:t>Şekil 20. LightGBM'in 5-katlı CV doğruluğunun, öneme göre sıralanmış korunan öznitelik sayısının bir fonksiyonu olarak değişimi. Plato yaklaşık 20 öznitelikte başlamakta; son 17 öznitelik ölçülen doğruluğu değiştirmemektedir.</w:t>
      </w:r>
    </w:p>
    <w:p>
      <w:pPr>
        <w:spacing w:before="0" w:after="160"/>
        <w:jc w:val="center"/>
      </w:pPr>
      <w:r>
        <w:rPr>
          <w:rFonts w:ascii="Times New Roman" w:hAnsi="Times New Roman" w:cs="Times New Roman" w:eastAsia="Times New Roman"/>
          <w:b w:val="0"/>
          <w:i/>
          <w:color w:val="333333"/>
          <w:sz w:val="17"/>
        </w:rPr>
        <w:t>(5-fold CV accuracy of LightGBM as a function of the number of features retained, ranked by importance. The plateau begins at roughly 20 features; the last 17 features do not change measured accuracy.)</w:t>
      </w:r>
    </w:p>
    <w:p>
      <w:pPr>
        <w:spacing w:before="160" w:after="40" w:line="240" w:lineRule="auto"/>
        <w:jc w:val="left"/>
        <w:keepNext/>
      </w:pPr>
      <w:r>
        <w:rPr>
          <w:rFonts w:ascii="Times New Roman" w:hAnsi="Times New Roman" w:cs="Times New Roman" w:eastAsia="Times New Roman"/>
          <w:b/>
          <w:i/>
          <w:color w:val="333333"/>
          <w:sz w:val="17"/>
        </w:rPr>
        <w:t>3.15. Sınırlamalar (Limitations)</w:t>
      </w:r>
    </w:p>
    <w:p>
      <w:pPr>
        <w:spacing w:line="240" w:lineRule="auto" w:before="0" w:after="120"/>
        <w:ind w:firstLine="283"/>
        <w:jc w:val="both"/>
      </w:pPr>
      <w:r>
        <w:rPr>
          <w:rFonts w:ascii="Times New Roman" w:hAnsi="Times New Roman" w:cs="Times New Roman" w:eastAsia="Times New Roman"/>
          <w:b w:val="0"/>
          <w:i w:val="0"/>
          <w:color w:val="333333"/>
          <w:sz w:val="17"/>
        </w:rPr>
        <w:t>Açıkça kaydedilmesi gereken dört sınırlama bulunmaktadır. Birincisi, öznitelikler 15-30 saniye uzunluğundaki tam klipten çıkarılmaktadır; daha kısa klipler (&lt; 5 saniye) özellikle tempo ve vibrato istatistikleri için daha az güvenilir tahminler vermektedir, dolayısıyla sistem henüz canlı-mikrofon kısa-klip rejiminde değerlendirilmemiştir. İkincisi, veri kümesi yirmi türü kapsamakla birlikte, bazı türler (özellikle ambient ve lo-fi) yapay zekâ kısmında aşırı temsil edilmektedir; tür-stratifiye değerlendirme genellemeyi daha titiz olarak hesaba katacaktır. Üçüncüsü, düşmanca sağlamlık açıkça test edilmemiştir; MP3 sıkıştırma, perde kaydırma veya zaman gerdirme gibi sonradan işlemlerin tespit performansını azalttığı, vokoder izlerine dayanan sistemler için bilinmektedir (Afchar vd. [7]). AURIS, öznitelikleri vokoder izleri etrafında kurulu olmadığından bu etkiye daha az ciddi biçimde uğrayacaktır ama bağışıklık değildir. Dördüncüsü, §3.12'de raporlanan eğitim-CV farkları modelin dağılım kayışına duyarlı olduğunu göstermektedir; bu durum SONICS [23] ve FakeMusicCaps [24] gibi yeni kıyaslamalar üzerinde resmi bir tutulan değerlendirme ile teyit edilmelidir.</w:t>
      </w:r>
    </w:p>
    <w:p>
      <w:pPr>
        <w:spacing w:before="240" w:after="80" w:line="240" w:lineRule="auto"/>
        <w:jc w:val="left"/>
        <w:keepNext/>
      </w:pPr>
      <w:r>
        <w:rPr>
          <w:rFonts w:ascii="Times New Roman" w:hAnsi="Times New Roman" w:cs="Times New Roman" w:eastAsia="Times New Roman"/>
          <w:b/>
          <w:i w:val="0"/>
          <w:color w:val="333333"/>
          <w:sz w:val="17"/>
        </w:rPr>
        <w:t>Sonuçlar (Conclusions)</w:t>
      </w:r>
    </w:p>
    <w:p>
      <w:pPr>
        <w:spacing w:line="240" w:lineRule="auto" w:before="0" w:after="120"/>
        <w:ind w:firstLine="283"/>
        <w:jc w:val="both"/>
      </w:pPr>
      <w:r>
        <w:rPr>
          <w:rFonts w:ascii="Times New Roman" w:hAnsi="Times New Roman" w:cs="Times New Roman" w:eastAsia="Times New Roman"/>
          <w:b w:val="0"/>
          <w:i w:val="0"/>
          <w:color w:val="333333"/>
          <w:sz w:val="17"/>
        </w:rPr>
        <w:t>Bu çalışmada, GenAI tarafından üretilen müziği insan tarafından bestelenmiş kayıtlardan ayırt edebilmek için AURIS adlı uçtan-uca bir tespit sistemi önerilmiştir. Önerilen sistem; 47 boyutlu elle tasarlanmış bir akustik öznitelik vektörünü, on iki veya daha fazla GenAI üretim sisteminden derlenen 5.195 örnek üzerinde eğitilen on bir sınıflandırma modelinden oluşan bir topluluk ile birleştirmektedir. Elde edilen temel ampirik bulgular şu şekilde özetlenebilir: LightGBM modeli, %95,48 ortalama ROC-AUC değeri ile en yüksek performansı elde etmiş; DMLP ise %95,42 ile çok yakın bir ikinci sırayı almıştır. Ayrıca LightGBM, ±0,0023 standart sapma ile havuzdaki en düşük katlar-arası varyansa sahip modeli oluşturmuştur. Spektral düzlük özniteliği, GenAI ile insan müziği ayrımı için en bilgilendirici tek öznitelik olarak öne çıkmakta; bu örüntü, sentetik ve kaydedilmiş spektrumlar arasındaki fark üzerinden yorumlanabilir bir nitelik taşımaktadır. Youden J ölçütü ile her kat için optimize edilen θ* = 0,4316 karar eşiği, mevcut 1:1,5 sınıf dengesizliği altında varsayılan 0,5 kesim noktasını sistematik biçimde geçmektedir. Tanılayıcı analiz ise iki önemli sınırlamayı açık biçimde ortaya koymaktadır: (𝑖) tüm ağaç tabanlı modeller eğitim ile çapraz doğrulama doğrulukları arasında 8-14 puanlık bir fark sergilemekte ve (𝑖𝑖) 47 özniteliğin önem sırasına göre sondaki yaklaşık on yedisi ölçülebilir bir ek doğruluk sağlamamaktadır.</w:t>
      </w:r>
    </w:p>
    <w:p>
      <w:pPr>
        <w:spacing w:line="240" w:lineRule="auto" w:before="0" w:after="120"/>
        <w:ind w:firstLine="283"/>
        <w:jc w:val="both"/>
      </w:pPr>
      <w:r>
        <w:rPr>
          <w:rFonts w:ascii="Times New Roman" w:hAnsi="Times New Roman" w:cs="Times New Roman" w:eastAsia="Times New Roman"/>
          <w:b w:val="0"/>
          <w:i w:val="0"/>
          <w:color w:val="333333"/>
          <w:sz w:val="17"/>
        </w:rPr>
        <w:t>Bu araştırma, GenAI tarafından üretilen müziklerin tespiti alanında derin öğrenme ve topluluk öğrenmesi tekniklerinin etkinliğini vurgulayarak, çok üreticili müzik tespiti alanında daha fazla ilerleme için umut verici yollar sunmaktadır. Gelecek çalışmalar kapsamında dört yön takip edilecektir. Birincisi, SONICS [23] ve FakeMusicCaps [24] gibi gelişmekte olan halka açık kıyaslamalar üzerinde resmi bir üretici-modeller arası tutulan değerlendirme gerçekleştirilecektir. İkincisi, ince ayar yapılmış wav2vec2 [13] modeli, öznitelik tabanlı sınıflandırıcılarla doğrudan karşılaştırma için 5-katlı çapraz doğrulama protokolüne entegre edilecektir. Üçüncüsü, düşmanca sağlamlık (adversarial robustness); MP3 sıkıştırma, perde kaydırma ve zaman gerdirme gibi ses manipülasyonları altında açıkça değerlendirilecektir. Dördüncüsü, kullanılan veri kümesi on bin örneğe doğru genişletilecek ve ortaya çıkan yeni GenAI üretim sistemleri kapsama dahil edilecektir; özellikle Li vd. [5] tarafından tanımlanan üretici-modeller arası genelleme zorluğuna odaklanılması hedeflenmektedir.</w:t>
      </w:r>
    </w:p>
    <w:p>
      <w:pPr>
        <w:spacing w:before="240" w:after="80" w:line="240" w:lineRule="auto"/>
        <w:jc w:val="left"/>
        <w:keepNext/>
      </w:pPr>
      <w:r>
        <w:rPr>
          <w:rFonts w:ascii="Times New Roman" w:hAnsi="Times New Roman" w:cs="Times New Roman" w:eastAsia="Times New Roman"/>
          <w:b/>
          <w:i w:val="0"/>
          <w:color w:val="333333"/>
          <w:sz w:val="17"/>
        </w:rPr>
        <w:t>Kaynaklar (References)</w:t>
      </w:r>
    </w:p>
    <w:p>
      <w:pPr>
        <w:spacing w:before="0" w:after="40" w:line="240" w:lineRule="auto"/>
        <w:ind w:left="340" w:hanging="340"/>
        <w:jc w:val="both"/>
      </w:pPr>
      <w:r>
        <w:rPr>
          <w:rFonts w:ascii="Times New Roman" w:hAnsi="Times New Roman" w:cs="Times New Roman" w:eastAsia="Times New Roman"/>
          <w:b w:val="0"/>
          <w:i w:val="0"/>
          <w:color w:val="333333"/>
          <w:sz w:val="16"/>
        </w:rPr>
        <w:t>1. Copet J., Kreuk F., Gat I., Remez T., Kant D., Synnaeve G., Adi Y., Défossez A., Simple and Controllable Music Generation, Advances in Neural Information Processing Systems, 36, 2023. DOI: 10.48550/arXiv.2306.05284.</w:t>
      </w:r>
    </w:p>
    <w:p>
      <w:pPr>
        <w:spacing w:before="0" w:after="40" w:line="240" w:lineRule="auto"/>
        <w:ind w:left="340" w:hanging="340"/>
        <w:jc w:val="both"/>
      </w:pPr>
      <w:r>
        <w:rPr>
          <w:rFonts w:ascii="Times New Roman" w:hAnsi="Times New Roman" w:cs="Times New Roman" w:eastAsia="Times New Roman"/>
          <w:b w:val="0"/>
          <w:i w:val="0"/>
          <w:color w:val="333333"/>
          <w:sz w:val="16"/>
        </w:rPr>
        <w:t>2. Liu H., Chen Z., Yuan Y., Mei X., Liu X., Mandic D., Wang W., Plumbley M.D., AudioLDM: Text-to-Audio Generation with Latent Diffusion Models, Proceedings of the International Conference on Machine Learning (ICML 2023), 21450-21474, Honolulu, Hawaii, A.B.D., 23-29 Temmuz, 2023. DOI: 10.48550/arXiv.2301.12503.</w:t>
      </w:r>
    </w:p>
    <w:p>
      <w:pPr>
        <w:spacing w:before="0" w:after="40" w:line="240" w:lineRule="auto"/>
        <w:ind w:left="340" w:hanging="340"/>
        <w:jc w:val="both"/>
      </w:pPr>
      <w:r>
        <w:rPr>
          <w:rFonts w:ascii="Times New Roman" w:hAnsi="Times New Roman" w:cs="Times New Roman" w:eastAsia="Times New Roman"/>
          <w:b w:val="0"/>
          <w:i w:val="0"/>
          <w:color w:val="333333"/>
          <w:sz w:val="16"/>
        </w:rPr>
        <w:t>3. Yi J., Fu R., Tao J., Nie S., Ma H., Wang C., Wang T., Tian Z., Bai Y., Fan C., ADD 2022: The First Audio Deep Synthesis Detection Challenge, Proceedings of the IEEE International Conference on Acoustics, Speech and Signal Processing (ICASSP 2022), 9216-9220, Singapur, 22-27 Mayıs, 2022. DOI: 10.1109/ICASSP43922.2022.9746939.</w:t>
      </w:r>
    </w:p>
    <w:p>
      <w:pPr>
        <w:spacing w:before="0" w:after="40" w:line="240" w:lineRule="auto"/>
        <w:ind w:left="340" w:hanging="340"/>
        <w:jc w:val="both"/>
      </w:pPr>
      <w:r>
        <w:rPr>
          <w:rFonts w:ascii="Times New Roman" w:hAnsi="Times New Roman" w:cs="Times New Roman" w:eastAsia="Times New Roman"/>
          <w:b w:val="0"/>
          <w:i w:val="0"/>
          <w:color w:val="333333"/>
          <w:sz w:val="16"/>
        </w:rPr>
        <w:t>4. Frank J., Schönherr L., WaveFake: A Data Set to Facilitate Audio Deepfake Detection, Advances in Neural Information Processing Systems 2021 Datasets and Benchmarks Track, 2021. DOI: 10.5281/zenodo.5642694.</w:t>
      </w:r>
    </w:p>
    <w:p>
      <w:pPr>
        <w:spacing w:before="0" w:after="40" w:line="240" w:lineRule="auto"/>
        <w:ind w:left="340" w:hanging="340"/>
        <w:jc w:val="both"/>
      </w:pPr>
      <w:r>
        <w:rPr>
          <w:rFonts w:ascii="Times New Roman" w:hAnsi="Times New Roman" w:cs="Times New Roman" w:eastAsia="Times New Roman"/>
          <w:b w:val="0"/>
          <w:i w:val="0"/>
          <w:color w:val="333333"/>
          <w:sz w:val="16"/>
        </w:rPr>
        <w:t>5. Li Y., Milling M., Specia L., Schuller B.W., From Audio Deepfake Detection to AI-Generated Music Detection: A Pathway and Overview, arXiv preprint arXiv:2412.00571, 2024. DOI: 10.48550/arXiv.2412.00571.</w:t>
      </w:r>
    </w:p>
    <w:p>
      <w:pPr>
        <w:spacing w:before="0" w:after="40" w:line="240" w:lineRule="auto"/>
        <w:ind w:left="340" w:hanging="340"/>
        <w:jc w:val="both"/>
      </w:pPr>
      <w:r>
        <w:rPr>
          <w:rFonts w:ascii="Times New Roman" w:hAnsi="Times New Roman" w:cs="Times New Roman" w:eastAsia="Times New Roman"/>
          <w:b w:val="0"/>
          <w:i w:val="0"/>
          <w:color w:val="333333"/>
          <w:sz w:val="16"/>
        </w:rPr>
        <w:t>6. Yi J., Wang C., Tao J., Zhang X., Zhang C.Y., Zhao Y., Audio Deepfake Detection: A Survey, arXiv preprint arXiv:2308.14970, 2023. DOI: 10.48550/arXiv.2308.14970.</w:t>
      </w:r>
    </w:p>
    <w:p>
      <w:pPr>
        <w:spacing w:before="0" w:after="40" w:line="240" w:lineRule="auto"/>
        <w:ind w:left="340" w:hanging="340"/>
        <w:jc w:val="both"/>
      </w:pPr>
      <w:r>
        <w:rPr>
          <w:rFonts w:ascii="Times New Roman" w:hAnsi="Times New Roman" w:cs="Times New Roman" w:eastAsia="Times New Roman"/>
          <w:b w:val="0"/>
          <w:i w:val="0"/>
          <w:color w:val="333333"/>
          <w:sz w:val="16"/>
        </w:rPr>
        <w:t>7. Afchar D., Meseguer Brocal G., Hennequin R., AI-Generated Music Detection and Its Challenges, Proceedings of the IEEE International Conference on Acoustics, Speech and Signal Processing (ICASSP 2025), Hyderabad, Hindistan, 6-11 Nisan, 2025. DOI: 10.48550/arXiv.2501.10111.</w:t>
      </w:r>
    </w:p>
    <w:p>
      <w:pPr>
        <w:spacing w:before="0" w:after="40" w:line="240" w:lineRule="auto"/>
        <w:ind w:left="340" w:hanging="340"/>
        <w:jc w:val="both"/>
      </w:pPr>
      <w:r>
        <w:rPr>
          <w:rFonts w:ascii="Times New Roman" w:hAnsi="Times New Roman" w:cs="Times New Roman" w:eastAsia="Times New Roman"/>
          <w:b w:val="0"/>
          <w:i w:val="0"/>
          <w:color w:val="333333"/>
          <w:sz w:val="16"/>
        </w:rPr>
        <w:t>8. Kim Y., Go S., Segment Transformer: AI-Generated Music Detection via Music Structural Analysis, arXiv preprint arXiv:2509.08283, 2025. DOI: 10.48550/arXiv.2509.08283.</w:t>
      </w:r>
    </w:p>
    <w:p>
      <w:pPr>
        <w:spacing w:before="0" w:after="40" w:line="240" w:lineRule="auto"/>
        <w:ind w:left="340" w:hanging="340"/>
        <w:jc w:val="both"/>
      </w:pPr>
      <w:r>
        <w:rPr>
          <w:rFonts w:ascii="Times New Roman" w:hAnsi="Times New Roman" w:cs="Times New Roman" w:eastAsia="Times New Roman"/>
          <w:b w:val="0"/>
          <w:i w:val="0"/>
          <w:color w:val="333333"/>
          <w:sz w:val="16"/>
        </w:rPr>
        <w:t>9. Chen T., Guestrin C., XGBoost: A Scalable Tree Boosting System, Proceedings of the 22nd ACM SIGKDD International Conference on Knowledge Discovery and Data Mining (KDD '16), 785-794, San Francisco, CA, A.B.D., 13-17 Ağustos, 2016. DOI: 10.1145/2939672.2939785.</w:t>
      </w:r>
    </w:p>
    <w:p>
      <w:pPr>
        <w:spacing w:before="0" w:after="40" w:line="240" w:lineRule="auto"/>
        <w:ind w:left="340" w:hanging="340"/>
        <w:jc w:val="both"/>
      </w:pPr>
      <w:r>
        <w:rPr>
          <w:rFonts w:ascii="Times New Roman" w:hAnsi="Times New Roman" w:cs="Times New Roman" w:eastAsia="Times New Roman"/>
          <w:b w:val="0"/>
          <w:i w:val="0"/>
          <w:color w:val="333333"/>
          <w:sz w:val="16"/>
        </w:rPr>
        <w:t>10. Ke G., Meng Q., Finley T., Wang T., Chen W., Ma W., Ye Q., Liu T.Y., LightGBM: A Highly Efficient Gradient Boosting Decision Tree, Advances in Neural Information Processing Systems 30 (NIPS 2017), 3149-3157, Long Beach, California, A.B.D., 4-9 Aralık, 2017.</w:t>
      </w:r>
    </w:p>
    <w:p>
      <w:pPr>
        <w:spacing w:before="0" w:after="40" w:line="240" w:lineRule="auto"/>
        <w:ind w:left="340" w:hanging="340"/>
        <w:jc w:val="both"/>
      </w:pPr>
      <w:r>
        <w:rPr>
          <w:rFonts w:ascii="Times New Roman" w:hAnsi="Times New Roman" w:cs="Times New Roman" w:eastAsia="Times New Roman"/>
          <w:b w:val="0"/>
          <w:i w:val="0"/>
          <w:color w:val="333333"/>
          <w:sz w:val="16"/>
        </w:rPr>
        <w:t>11. Lundberg S.M., Lee S.I., A Unified Approach to Interpreting Model Predictions, Advances in Neural Information Processing Systems 30 (NIPS 2017), 4768-4777, Long Beach, California, A.B.D., 4-9 Aralık, 2017. DOI: 10.48550/arXiv.1705.07874.</w:t>
      </w:r>
    </w:p>
    <w:p>
      <w:pPr>
        <w:spacing w:before="0" w:after="40" w:line="240" w:lineRule="auto"/>
        <w:ind w:left="340" w:hanging="340"/>
        <w:jc w:val="both"/>
      </w:pPr>
      <w:r>
        <w:rPr>
          <w:rFonts w:ascii="Times New Roman" w:hAnsi="Times New Roman" w:cs="Times New Roman" w:eastAsia="Times New Roman"/>
          <w:b w:val="0"/>
          <w:i w:val="0"/>
          <w:color w:val="333333"/>
          <w:sz w:val="16"/>
        </w:rPr>
        <w:t>12. Martín-Doñas J.M., Álvarez A., The Vicomtech Audio Deepfake Detection System Based on Wav2vec2 for the 2022 ADD Challenge, Proceedings of the IEEE International Conference on Acoustics, Speech and Signal Processing (ICASSP 2022), 9266-9270, Singapur, 22-27 Mayıs, 2022. DOI: 10.1109/ICASSP43922.2022.9747768.</w:t>
      </w:r>
    </w:p>
    <w:p>
      <w:pPr>
        <w:spacing w:before="0" w:after="40" w:line="240" w:lineRule="auto"/>
        <w:ind w:left="340" w:hanging="340"/>
        <w:jc w:val="both"/>
      </w:pPr>
      <w:r>
        <w:rPr>
          <w:rFonts w:ascii="Times New Roman" w:hAnsi="Times New Roman" w:cs="Times New Roman" w:eastAsia="Times New Roman"/>
          <w:b w:val="0"/>
          <w:i w:val="0"/>
          <w:color w:val="333333"/>
          <w:sz w:val="16"/>
        </w:rPr>
        <w:t>13. Baevski A., Zhou Y., Mohamed A., Auli M., wav2vec 2.0: A Framework for Self-Supervised Learning of Speech Representations, Advances in Neural Information Processing Systems, 33, 12449-12460, 2020. DOI: 10.5555/3495724.3496768.</w:t>
      </w:r>
    </w:p>
    <w:p>
      <w:pPr>
        <w:spacing w:before="0" w:after="40" w:line="240" w:lineRule="auto"/>
        <w:ind w:left="340" w:hanging="340"/>
        <w:jc w:val="both"/>
      </w:pPr>
      <w:r>
        <w:rPr>
          <w:rFonts w:ascii="Times New Roman" w:hAnsi="Times New Roman" w:cs="Times New Roman" w:eastAsia="Times New Roman"/>
          <w:b w:val="0"/>
          <w:i w:val="0"/>
          <w:color w:val="333333"/>
          <w:sz w:val="16"/>
        </w:rPr>
        <w:t>14. Elizalde B., Deshmukh S., Al Ismail M., Wang H., CLAP: Learning Audio Concepts from Natural Language Supervision, Proceedings of the IEEE International Conference on Acoustics, Speech and Signal Processing (ICASSP 2023), 1-5, Rhodes, Yunanistan, 4-10 Haziran, 2023. DOI: 10.1109/ICASSP49357.2023.10095889.</w:t>
      </w:r>
    </w:p>
    <w:p>
      <w:pPr>
        <w:spacing w:before="0" w:after="40" w:line="240" w:lineRule="auto"/>
        <w:ind w:left="340" w:hanging="340"/>
        <w:jc w:val="both"/>
      </w:pPr>
      <w:r>
        <w:rPr>
          <w:rFonts w:ascii="Times New Roman" w:hAnsi="Times New Roman" w:cs="Times New Roman" w:eastAsia="Times New Roman"/>
          <w:b w:val="0"/>
          <w:i w:val="0"/>
          <w:color w:val="333333"/>
          <w:sz w:val="16"/>
        </w:rPr>
        <w:t>15. Wu Y., Chen K., Zhang T., Hui Y., Berg-Kirkpatrick T., Dubnov S., Large-Scale Contrastive Language-Audio Pretraining with Feature Fusion and Keyword-to-Caption Augmentation, Proceedings of the IEEE International Conference on Acoustics, Speech and Signal Processing (ICASSP 2023), 1-5, Rhodes, Yunanistan, 4-10 Haziran, 2023. DOI: 10.1109/ICASSP49357.2023.10095969.</w:t>
      </w:r>
    </w:p>
    <w:p>
      <w:pPr>
        <w:spacing w:before="0" w:after="40" w:line="240" w:lineRule="auto"/>
        <w:ind w:left="340" w:hanging="340"/>
        <w:jc w:val="both"/>
      </w:pPr>
      <w:r>
        <w:rPr>
          <w:rFonts w:ascii="Times New Roman" w:hAnsi="Times New Roman" w:cs="Times New Roman" w:eastAsia="Times New Roman"/>
          <w:b w:val="0"/>
          <w:i w:val="0"/>
          <w:color w:val="333333"/>
          <w:sz w:val="16"/>
        </w:rPr>
        <w:t>16. Liu Y., Yin Y., Zhu Q., Cui W., Musical Instrument Recognition by XGBoost Combining Feature Fusion, arXiv preprint arXiv:2206.00901, 2022. DOI: 10.48550/arXiv.2206.00901.</w:t>
      </w:r>
    </w:p>
    <w:p>
      <w:pPr>
        <w:spacing w:before="0" w:after="40" w:line="240" w:lineRule="auto"/>
        <w:ind w:left="340" w:hanging="340"/>
        <w:jc w:val="both"/>
      </w:pPr>
      <w:r>
        <w:rPr>
          <w:rFonts w:ascii="Times New Roman" w:hAnsi="Times New Roman" w:cs="Times New Roman" w:eastAsia="Times New Roman"/>
          <w:b w:val="0"/>
          <w:i w:val="0"/>
          <w:color w:val="333333"/>
          <w:sz w:val="16"/>
        </w:rPr>
        <w:t>17. Gan R., Huang T., Shao J., Wang F., Music Genre Classification Based on VMD-IWOA-XGBoost, Mathematics, 12 (10), 1549, 2024. DOI: 10.3390/math12101549.</w:t>
      </w:r>
    </w:p>
    <w:p>
      <w:pPr>
        <w:spacing w:before="0" w:after="40" w:line="240" w:lineRule="auto"/>
        <w:ind w:left="340" w:hanging="340"/>
        <w:jc w:val="both"/>
      </w:pPr>
      <w:r>
        <w:rPr>
          <w:rFonts w:ascii="Times New Roman" w:hAnsi="Times New Roman" w:cs="Times New Roman" w:eastAsia="Times New Roman"/>
          <w:b w:val="0"/>
          <w:i w:val="0"/>
          <w:color w:val="333333"/>
          <w:sz w:val="16"/>
        </w:rPr>
        <w:t>18. Hızlısoy S., Tüfekci Z., Derin Öğrenme İle Türkçe Müziklerden Müzik Türü Sınıflandırması, Avrupa Bilim ve Teknoloji Dergisi, 24, 176-183, 2021. DOI: 10.31590/ejosat.898588.</w:t>
      </w:r>
    </w:p>
    <w:p>
      <w:pPr>
        <w:spacing w:before="0" w:after="40" w:line="240" w:lineRule="auto"/>
        <w:ind w:left="340" w:hanging="340"/>
        <w:jc w:val="both"/>
      </w:pPr>
      <w:r>
        <w:rPr>
          <w:rFonts w:ascii="Times New Roman" w:hAnsi="Times New Roman" w:cs="Times New Roman" w:eastAsia="Times New Roman"/>
          <w:b w:val="0"/>
          <w:i w:val="0"/>
          <w:color w:val="333333"/>
          <w:sz w:val="16"/>
        </w:rPr>
        <w:t>19. Özbalcı M.C., Şahin H., Bilgin T.T., Classification of Music Genres of GTZAN Dataset with Machine Learning Methods, Mühendislik Bilimleri ve Araştırmaları Dergisi, 6 (1), 2024.</w:t>
      </w:r>
    </w:p>
    <w:p>
      <w:pPr>
        <w:spacing w:before="0" w:after="40" w:line="240" w:lineRule="auto"/>
        <w:ind w:left="340" w:hanging="340"/>
        <w:jc w:val="both"/>
      </w:pPr>
      <w:r>
        <w:rPr>
          <w:rFonts w:ascii="Times New Roman" w:hAnsi="Times New Roman" w:cs="Times New Roman" w:eastAsia="Times New Roman"/>
          <w:b w:val="0"/>
          <w:i w:val="0"/>
          <w:color w:val="333333"/>
          <w:sz w:val="16"/>
        </w:rPr>
        <w:t>20. Turan A.K., Polat H., Yarı Denetimli Makine Öğrenmesi Yöntemini Kullanarak Müzik Türlerinin Tespiti, Gazi Üniversitesi Fen Bilimleri Dergisi Part C: Tasarım ve Teknoloji, 12 (1), 92-107, 2024. DOI: 10.29109/gujsc.1352477.</w:t>
      </w:r>
    </w:p>
    <w:p>
      <w:pPr>
        <w:spacing w:before="0" w:after="40" w:line="240" w:lineRule="auto"/>
        <w:ind w:left="340" w:hanging="340"/>
        <w:jc w:val="both"/>
      </w:pPr>
      <w:r>
        <w:rPr>
          <w:rFonts w:ascii="Times New Roman" w:hAnsi="Times New Roman" w:cs="Times New Roman" w:eastAsia="Times New Roman"/>
          <w:b w:val="0"/>
          <w:i w:val="0"/>
          <w:color w:val="333333"/>
          <w:sz w:val="16"/>
        </w:rPr>
        <w:t>21. Kostrzewa D., Mazur W., Brzeski R., Wide Ensembles of Neural Networks in Music Genre Classification, Computational Science -- ICCS 2022, Lecture Notes in Computer Science, vol. 13351, 91-102, Springer, 2022. DOI: 10.1007/978-3-031-08754-7_9.</w:t>
      </w:r>
    </w:p>
    <w:p>
      <w:pPr>
        <w:spacing w:before="0" w:after="40" w:line="240" w:lineRule="auto"/>
        <w:ind w:left="340" w:hanging="340"/>
        <w:jc w:val="both"/>
      </w:pPr>
      <w:r>
        <w:rPr>
          <w:rFonts w:ascii="Times New Roman" w:hAnsi="Times New Roman" w:cs="Times New Roman" w:eastAsia="Times New Roman"/>
          <w:b w:val="0"/>
          <w:i w:val="0"/>
          <w:color w:val="333333"/>
          <w:sz w:val="16"/>
        </w:rPr>
        <w:t>22. Gourisaria M.K., Agrawal R., Sahni M., Comparative Analysis of Audio Classification with MFCC and STFT Features Using Machine Learning Techniques, Discover Internet of Things, 4 (1), 1, 2024. DOI: 10.1007/s43926-023-00049-y.</w:t>
      </w:r>
    </w:p>
    <w:p>
      <w:pPr>
        <w:spacing w:before="0" w:after="40" w:line="240" w:lineRule="auto"/>
        <w:ind w:left="340" w:hanging="340"/>
        <w:jc w:val="both"/>
      </w:pPr>
      <w:r>
        <w:rPr>
          <w:rFonts w:ascii="Times New Roman" w:hAnsi="Times New Roman" w:cs="Times New Roman" w:eastAsia="Times New Roman"/>
          <w:b w:val="0"/>
          <w:i w:val="0"/>
          <w:color w:val="333333"/>
          <w:sz w:val="16"/>
        </w:rPr>
        <w:t>23. Rahman M.A., Hakim Z.I.A., Sarker N.H., Paul B., Fattah S.A., SONICS: Synthetic Or Not -- Identifying Counterfeit Songs, Proceedings of the International Conference on Learning Representations (ICLR 2025), Singapur, 24-28 Nisan, 2025. DOI: 10.48550/arXiv.2408.14080.</w:t>
      </w:r>
    </w:p>
    <w:p>
      <w:pPr>
        <w:spacing w:before="0" w:after="40" w:line="240" w:lineRule="auto"/>
        <w:ind w:left="340" w:hanging="340"/>
        <w:jc w:val="both"/>
      </w:pPr>
      <w:r>
        <w:rPr>
          <w:rFonts w:ascii="Times New Roman" w:hAnsi="Times New Roman" w:cs="Times New Roman" w:eastAsia="Times New Roman"/>
          <w:b w:val="0"/>
          <w:i w:val="0"/>
          <w:color w:val="333333"/>
          <w:sz w:val="16"/>
        </w:rPr>
        <w:t>24. Comanducci L., Bestagini P., Tubaro S., FakeMusicCaps: A Dataset for Detection and Attribution of Synthetic Music Generated via Text-to-Music Models, arXiv preprint arXiv:2409.10684, 2024. DOI: 10.48550/arXiv.2409.10684.</w:t>
      </w:r>
    </w:p>
    <w:p>
      <w:pPr>
        <w:spacing w:before="0" w:after="40" w:line="240" w:lineRule="auto"/>
        <w:ind w:left="340" w:hanging="340"/>
        <w:jc w:val="both"/>
      </w:pPr>
      <w:r>
        <w:rPr>
          <w:rFonts w:ascii="Times New Roman" w:hAnsi="Times New Roman" w:cs="Times New Roman" w:eastAsia="Times New Roman"/>
          <w:b w:val="0"/>
          <w:i w:val="0"/>
          <w:color w:val="333333"/>
          <w:sz w:val="16"/>
        </w:rPr>
        <w:t>25. Pascu O., Oneata D., Cucu H., Müller N.M., Echoes: A Semantically-Aligned Music Deepfake Detection Dataset, arXiv preprint arXiv:2603.23667, 2025. DOI: 10.48550/arXiv.2603.23667.</w:t>
      </w:r>
    </w:p>
    <w:p>
      <w:pPr>
        <w:spacing w:before="0" w:after="40" w:line="240" w:lineRule="auto"/>
        <w:ind w:left="340" w:hanging="340"/>
        <w:jc w:val="both"/>
      </w:pPr>
      <w:r>
        <w:rPr>
          <w:rFonts w:ascii="Times New Roman" w:hAnsi="Times New Roman" w:cs="Times New Roman" w:eastAsia="Times New Roman"/>
          <w:b w:val="0"/>
          <w:i w:val="0"/>
          <w:color w:val="333333"/>
          <w:sz w:val="16"/>
        </w:rPr>
        <w:t>26. Sunday N., Detecting Musical Deepfakes, arXiv preprint arXiv:2505.09633, 2025. DOI: 10.48550/arXiv.2505.09633.</w:t>
      </w:r>
    </w:p>
    <w:p>
      <w:pPr>
        <w:spacing w:before="0" w:after="40" w:line="240" w:lineRule="auto"/>
        <w:ind w:left="340" w:hanging="340"/>
        <w:jc w:val="both"/>
      </w:pPr>
      <w:r>
        <w:rPr>
          <w:rFonts w:ascii="Times New Roman" w:hAnsi="Times New Roman" w:cs="Times New Roman" w:eastAsia="Times New Roman"/>
          <w:b w:val="0"/>
          <w:i w:val="0"/>
          <w:color w:val="333333"/>
          <w:sz w:val="16"/>
        </w:rPr>
        <w:t>27. Sroka T., Wężowicz T., Sidorczuk D., Modrzejewski M., Evaluating Fake Music Detection Performance Under Audio Augmentations, arXiv preprint arXiv:2507.10447, 2025. DOI: 10.48550/arXiv.2507.10447.</w:t>
      </w:r>
    </w:p>
    <w:p>
      <w:pPr>
        <w:spacing w:before="0" w:after="40" w:line="240" w:lineRule="auto"/>
        <w:ind w:left="340" w:hanging="340"/>
        <w:jc w:val="both"/>
      </w:pPr>
      <w:r>
        <w:rPr>
          <w:rFonts w:ascii="Times New Roman" w:hAnsi="Times New Roman" w:cs="Times New Roman" w:eastAsia="Times New Roman"/>
          <w:b w:val="0"/>
          <w:i w:val="0"/>
          <w:color w:val="333333"/>
          <w:sz w:val="16"/>
        </w:rPr>
        <w:t>28. McFee B., Raffel C., Liang D., Ellis D.P.W., McVicar M., Battenberg E., Nieto O., librosa: Audio and Music Signal Analysis in Python, Proceedings of the 14th Python in Science Conference (SciPy 2015), 18-24, Austin, Texas, A.B.D., 6-12 Temmuz, 2015. DOI: 10.25080/Majora-7b98e3ed-003.</w:t>
      </w:r>
    </w:p>
    <w:p>
      <w:pPr>
        <w:spacing w:before="0" w:after="40" w:line="240" w:lineRule="auto"/>
        <w:ind w:left="340" w:hanging="340"/>
        <w:jc w:val="both"/>
      </w:pPr>
      <w:r>
        <w:rPr>
          <w:rFonts w:ascii="Times New Roman" w:hAnsi="Times New Roman" w:cs="Times New Roman" w:eastAsia="Times New Roman"/>
          <w:b w:val="0"/>
          <w:i w:val="0"/>
          <w:color w:val="333333"/>
          <w:sz w:val="16"/>
        </w:rPr>
        <w:t>29. Pedregosa F., Varoquaux G., Gramfort A., Michel V., Thirion B., Grisel O., Blondel M., Prettenhofer P., Weiss R., Dubourg V., Vanderplas J., Passos A., Cournapeau D., Brucher M., Perrot M., Duchesnay E., Scikit-learn: Machine Learning in Python, Journal of Machine Learning Research, 12, 2825-2830, 2011.</w:t>
      </w:r>
    </w:p>
    <w:p>
      <w:pPr>
        <w:spacing w:before="0" w:after="40" w:line="240" w:lineRule="auto"/>
        <w:ind w:left="340" w:hanging="340"/>
        <w:jc w:val="both"/>
      </w:pPr>
      <w:r>
        <w:rPr>
          <w:rFonts w:ascii="Times New Roman" w:hAnsi="Times New Roman" w:cs="Times New Roman" w:eastAsia="Times New Roman"/>
          <w:b w:val="0"/>
          <w:i w:val="0"/>
          <w:color w:val="333333"/>
          <w:sz w:val="16"/>
        </w:rPr>
        <w:t>30. Kingma D.P., Ba J., Adam: A Method for Stochastic Optimization, Proceedings of the 3rd International Conference on Learning Representations (ICLR 2015), 1-15, San Diego, California, A.B.D., 7-9 Mayıs, 2015. DOI: 10.48550/arXiv.1412.6980.</w:t>
      </w:r>
    </w:p>
    <w:sectPr w:rsidR="00FC693F" w:rsidRPr="0006063C" w:rsidSect="00034616">
      <w:type w:val="continuous"/>
      <w:pgSz w:w="11906" w:h="16838"/>
      <w:pgMar w:top="1582" w:right="850" w:bottom="278" w:left="850" w:header="720" w:footer="720" w:gutter="0"/>
      <w:docGrid w:linePitch="360"/>
      <w:cols w:num="2" w:space="28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