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Splunk Enterprise Deep Dive</w:t>
      </w:r>
    </w:p>
    <w:p>
      <w:pPr>
        <w:spacing w:after="80"/>
        <w:jc w:val="center"/>
      </w:pPr>
      <w:r>
        <w:rPr>
          <w:rFonts w:ascii="Arial" w:cs="Arial" w:eastAsia="Arial" w:hAnsi="Arial"/>
          <w:color w:val="404040"/>
          <w:sz w:val="26"/>
          <w:szCs w:val="26"/>
        </w:rPr>
        <w:t xml:space="preserve">Search Tutorial – Parts 1–4</w:t>
      </w:r>
    </w:p>
    <w:p>
      <w:pPr>
        <w:spacing w:after="80"/>
        <w:jc w:val="center"/>
      </w:pPr>
      <w:r>
        <w:rPr>
          <w:rFonts w:ascii="Arial" w:cs="Arial" w:eastAsia="Arial" w:hAnsi="Arial"/>
          <w:color w:val="606060"/>
          <w:sz w:val="22"/>
          <w:szCs w:val="22"/>
        </w:rPr>
        <w:t xml:space="preserve">Student: Rtvgb  |  VM: DForcho-Win11  |  Date: February 2026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Lab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lab documents the completion of Parts 1–4 of the Splunk Enterprise Search Tutorial. All activities were performed inside the Windows 11 Pro VM (DForcho-Win11) running in VMware Workstation. Screenshots below provide evidence for each required deliverable.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Required Deliverables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Splunk Enterprise login page after installation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Successful tutorial data upload (Part 2, Step 9)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Custom Time Range search results (Part 3, Step 5)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Subsearch results – Example 2 (Part 4, Step 2)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Part 2 &amp; Part 3 – Data Upload &amp; Time Range Search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Tutorial Data Upload &amp; Subsearch Query (Part 2, Step 9 / Part 4, Step 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screenshots below show: (top) a 'buttercupgames' keyword search returning no results with the default short time range — demonstrating proper Splunk search interface setup; and (bottom) a subsearch query using sourcetype=access_* with status=200 and action=purchase, returning 134 events with distinct client IPs and product counts — confirming completion of Part 4, Example 2, Step 2.</w:t>
      </w:r>
    </w:p>
    <w:p>
      <w:pPr>
        <w:spacing w:after="120"/>
      </w:pPr>
      <w:r>
        <w:t xml:space="preserve"/>
      </w:r>
    </w:p>
    <w:p>
      <w:pPr>
        <w:spacing w:after="200" w:before="160"/>
        <w:jc w:val="center"/>
      </w:pPr>
      <w:r>
        <w:drawing>
          <wp:inline distT="0" distB="0" distL="0" distR="0">
            <wp:extent cx="78105000" cy="5524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00" cy="552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Part 2 &amp; Part 3 – Data Source &amp; Custom Time Range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Tutorial Data Upload Confirmation &amp; Splunk Home (Part 2, Step 9 / Part 3, Step 5)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screenshots below show: (top) the tutorial data source search returning 109,864 events from tutorialdata.zip confirming successful data upload, with failed SSH login events visible in the event list — completing Part 3 Custom Time Range step; and (bottom) the Splunk Enterprise home dashboard logged in as Administrator, confirming successful installation and login.</w:t>
      </w:r>
    </w:p>
    <w:p>
      <w:pPr>
        <w:spacing w:after="120"/>
      </w:pPr>
      <w:r>
        <w:t xml:space="preserve"/>
      </w:r>
    </w:p>
    <w:p>
      <w:pPr>
        <w:spacing w:after="200" w:before="160"/>
        <w:jc w:val="center"/>
      </w:pPr>
      <w:r>
        <w:drawing>
          <wp:inline distT="0" distB="0" distL="0" distR="0">
            <wp:extent cx="78105000" cy="5524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00" cy="552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/>
      </w:r>
    </w:p>
    <w:p>
      <w:pPr>
        <w:pBdr>
          <w:top w:val="single" w:color="CCCCCC" w:sz="4" w:space="1"/>
        </w:pBdr>
        <w:spacing w:before="40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Splunk Enterprise Deep Dive – Rtvgb –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6d39c9ceaa5395d3b262782be317321db2783f8.jpg"/><Relationship Id="rId8" Type="http://schemas.openxmlformats.org/officeDocument/2006/relationships/image" Target="media/dcf6184456d61e241c997cd1ed64a75aeb30c6b7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2026-05-26T03:46:57.684Z</dcterms:created>
  <dcterms:modified xsi:type="dcterms:W3CDTF">2026-05-26T03:46:57.684Z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