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9865" cy="993775"/>
            <wp:effectExtent l="0" t="0" r="1333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  <w:color w:val="C00000"/>
        </w:rPr>
        <w:t>论文地址：</w:t>
      </w:r>
      <w:r>
        <w:rPr>
          <w:lang w:eastAsia="zh-CN"/>
        </w:rPr>
        <w:t>https://arxiv.org/abs/2007.13970</w:t>
      </w:r>
    </w:p>
    <w:p>
      <w:r>
        <w:rPr>
          <w:b/>
          <w:bCs/>
          <w:color w:val="C00000"/>
        </w:rPr>
        <w:t>代码地址：</w:t>
      </w:r>
      <w:r>
        <w:rPr>
          <w:lang w:eastAsia="zh-CN"/>
        </w:rPr>
        <w:t>https://github.com/Zengyi-Qin/Weakly-Supervised-3D-Object-Detection</w:t>
      </w:r>
    </w:p>
    <w:p>
      <w:r>
        <w:rPr>
          <w:b/>
          <w:bCs/>
          <w:color w:val="C00000"/>
        </w:rPr>
        <w:t>论文信息：</w:t>
      </w:r>
      <w:r>
        <w:t>ACM MM 2020；麻省理工学院；微软研究院；</w:t>
      </w:r>
    </w:p>
    <w:p/>
    <w:p>
      <w:r>
        <w:rPr>
          <w:b/>
          <w:bCs/>
          <w:color w:val="C00000"/>
        </w:rPr>
        <w:t>动机：</w:t>
      </w:r>
      <w:r>
        <w:t>使用弱监督学习规避3D检测任务中，标签信息较难获得且不准确的问题。整体方案分为两步：第一步根据归一化点云密度无监督产生多个候选框，第二步，利用跨模态的知识蒸馏策略，将在图像上学习到的检测知识用在3D检测问题上，生成最终的候选框。</w:t>
      </w:r>
    </w:p>
    <w:p/>
    <w:p>
      <w:pPr>
        <w:rPr>
          <w:b/>
          <w:bCs/>
          <w:color w:val="C00000"/>
        </w:rPr>
      </w:pPr>
      <w:r>
        <w:rPr>
          <w:b/>
          <w:bCs/>
          <w:color w:val="C00000"/>
        </w:rPr>
        <w:t>如何无监督提候选框：</w:t>
      </w:r>
    </w:p>
    <w:p>
      <w:pPr>
        <w:ind w:firstLine="420" w:firstLineChars="200"/>
      </w:pPr>
      <w:r>
        <w:t>论文提出根据点云分布密度和是否存在物体是相关的思路，先初步找到目标物体位置。为了避免anchor中点云密度受深度影响，提出了一种归一化密度的方式。</w:t>
      </w:r>
    </w:p>
    <w:p>
      <w:pPr>
        <w:ind w:firstLine="420"/>
      </w:pPr>
      <w:r>
        <w:t>作者将点云投影至前视图，得到pixel-wise map，每个pixel对应三维坐标有三个特征值。在map上以间隔0.2m截取大小为32*32的patch，每个patch是一个四棱台范围内的数据投影得来的，所以每个patch在深度上可以对应到多个3D box，同时随着深度增加，3D box的体积越大，密度=落在box内的点数量/32*32，这样就规避了随着深度加深，密度降低的问题。这部分因为没用GPU并行化计算，所以耗时作者是没有算进整体网络的耗时的。</w:t>
      </w:r>
    </w:p>
    <w:p>
      <w:pPr>
        <w:ind w:firstLine="420"/>
      </w:pPr>
      <w:r>
        <w:t>根据每个3D box算出来的归一化密度，和预先设置的阈值0.5做比较，低于阈值的认为不包含物体，进一步，将保留下的3D box向外扩张0.2m，避免候选框中只有一部分的物体。</w:t>
      </w:r>
    </w:p>
    <w:p>
      <w:pPr>
        <w:ind w:firstLine="420"/>
      </w:pPr>
      <w:r>
        <w:drawing>
          <wp:inline distT="0" distB="0" distL="114300" distR="114300">
            <wp:extent cx="5271135" cy="2115185"/>
            <wp:effectExtent l="0" t="0" r="12065" b="18415"/>
            <wp:docPr id="15" name="图片 15" descr="截屏2020-07-31 下午4.3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0-07-31 下午4.37.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C00000"/>
        </w:rPr>
      </w:pPr>
      <w:r>
        <w:rPr>
          <w:b/>
          <w:bCs/>
          <w:color w:val="C00000"/>
        </w:rPr>
        <w:t>图像和点云之间的迁移学习：</w:t>
      </w:r>
    </w:p>
    <w:p>
      <w:pPr>
        <w:ind w:firstLine="420"/>
      </w:pPr>
      <w:r>
        <w:t>作者提了一种跨模态的知识蒸馏策略，点云做3D检测的网络作为student，在大型图像数据集上训练得到的模型作为teacher。</w:t>
      </w:r>
    </w:p>
    <w:p>
      <w:pPr>
        <w:ind w:firstLine="420"/>
      </w:pPr>
      <w:r>
        <w:drawing>
          <wp:inline distT="0" distB="0" distL="114300" distR="114300">
            <wp:extent cx="3952875" cy="2114550"/>
            <wp:effectExtent l="0" t="0" r="9525" b="1905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Teacher(蓝色部分)：模型解决两个任务，第一个是输入一个物体，输出该物体种类；第二个是朝向预测，将360°分为16个bin，将朝向问题转换为multi-bin classification的问题。</w:t>
      </w:r>
    </w:p>
    <w:p>
      <w:pPr>
        <w:ind w:firstLine="420"/>
      </w:pPr>
      <w:r>
        <w:t>Student(绿色部分)：由backbone，RoIAlign和FC组成，输入backbone的是pixel-wise map，将由无监督学习产生的候选框对应到pixel-wise map和图像数据（作者选用kitti数据中提供了和点云数据对应的图像数据）中，裁剪出候选框覆盖的区域，将裁剪出的图像数据送入teacher网络中做分类预测，将student backbone提取的候选框特征利用RoIAlign得到固定维度，后送入FC做分类预测，通过交叉熵损失函数保证student给出的预测结果和teacher给出的结果是一致的。</w:t>
      </w:r>
    </w:p>
    <w:p>
      <w:pPr>
        <w:ind w:firstLine="420"/>
      </w:pPr>
    </w:p>
    <w:p>
      <w:pPr>
        <w:ind w:firstLine="420"/>
      </w:pPr>
      <w:r>
        <w:t>跨模态的知识蒸馏会有以下两点问题</w:t>
      </w:r>
    </w:p>
    <w:p>
      <w:pPr>
        <w:ind w:firstLine="420"/>
      </w:pPr>
      <w:r>
        <w:t>1 如下图a，teacher给出某些样本的预测结果在sl=0.4和sh=0.6区间中，表示他对这些样本分类不是很有把握，这种时候，student是学习不到什么知识的。</w:t>
      </w:r>
    </w:p>
    <w:p>
      <w:pPr>
        <w:ind w:firstLine="420"/>
      </w:pPr>
      <w:r>
        <w:t>2 对于teacher预测的结果，往往会设置一个阈值，将结果二分类，这样就会导致student学习没有区分度，比方说阈值设置为0.6时，teacher对正样本预测0.9，0.7，转为student监督标签时都是1，如下图b。</w:t>
      </w:r>
    </w:p>
    <w:p>
      <w:pPr>
        <w:ind w:firstLine="420"/>
      </w:pPr>
      <w:r>
        <w:drawing>
          <wp:inline distT="0" distB="0" distL="114300" distR="114300">
            <wp:extent cx="5274310" cy="2511425"/>
            <wp:effectExtent l="0" t="0" r="8890" b="3175"/>
            <wp:docPr id="17" name="图片 17" descr="截屏2020-07-31 下午11.49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0-07-31 下午11.49.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根据以上两点，做以下修改：</w:t>
      </w:r>
    </w:p>
    <w:p>
      <w:pPr>
        <w:ind w:firstLine="420"/>
      </w:pPr>
      <w:r>
        <w:t>1 现利用公式</w:t>
      </w:r>
      <w:r>
        <w:drawing>
          <wp:inline distT="0" distB="0" distL="114300" distR="114300">
            <wp:extent cx="1158240" cy="422275"/>
            <wp:effectExtent l="0" t="0" r="10160" b="9525"/>
            <wp:docPr id="18" name="图片 18" descr="截屏2020-08-01 上午12.20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0-08-01 上午12.20.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将teacher输出结果曲线平滑为上图c</w:t>
      </w:r>
    </w:p>
    <w:p>
      <w:pPr>
        <w:ind w:firstLine="420"/>
      </w:pPr>
      <w:r>
        <w:t xml:space="preserve">2 将student和teacher之间的损失函数改为，即不计算落在sl和sh区间中的样本。其中^是平滑化后的teacher输出，~是student输出。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="420"/>
      </w:pPr>
      <w:r>
        <w:drawing>
          <wp:inline distT="0" distB="0" distL="114300" distR="114300">
            <wp:extent cx="5274310" cy="443230"/>
            <wp:effectExtent l="0" t="0" r="8890" b="13970"/>
            <wp:docPr id="19" name="图片 19" descr="截屏2020-08-01 上午12.46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0-08-01 上午12.46.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color w:val="C00000"/>
        </w:rPr>
        <w:t>实验结果：</w:t>
      </w:r>
    </w:p>
    <w:p>
      <w:pPr>
        <w:keepNext w:val="0"/>
        <w:keepLines w:val="0"/>
        <w:widowControl/>
        <w:suppressLineNumbers w:val="0"/>
        <w:jc w:val="left"/>
      </w:pPr>
      <w:r>
        <w:t>实验对比挑选了三个SOTA的弱监督学习方法：PCL[</w:t>
      </w:r>
      <w:r>
        <w:rPr>
          <w:rFonts w:ascii="LinLibertineT" w:hAnsi="LinLibertineT" w:eastAsia="LinLibertineT" w:cs="LinLibertineT"/>
          <w:color w:val="000000"/>
          <w:kern w:val="0"/>
          <w:sz w:val="14"/>
          <w:szCs w:val="14"/>
          <w:lang w:val="en-US" w:eastAsia="zh-CN" w:bidi="ar"/>
        </w:rPr>
        <w:t xml:space="preserve">Peng Tang, Xinggang Wang, Song Bai, Wei Shen, Xiang Bai, Wenyu Liu, and </w:t>
      </w:r>
      <w:r>
        <w:rPr>
          <w:rFonts w:hint="default" w:ascii="LinLibertineT" w:hAnsi="LinLibertineT" w:eastAsia="LinLibertineT" w:cs="LinLibertineT"/>
          <w:color w:val="000000"/>
          <w:kern w:val="0"/>
          <w:sz w:val="14"/>
          <w:szCs w:val="14"/>
          <w:lang w:val="en-US" w:eastAsia="zh-CN" w:bidi="ar"/>
        </w:rPr>
        <w:t xml:space="preserve">Alan Loddon Yuille. 2018. Pcl: Proposal cluster learning for weakly supervised object detection. </w:t>
      </w:r>
      <w:r>
        <w:rPr>
          <w:rFonts w:ascii="LinLibertineTI" w:hAnsi="LinLibertineTI" w:eastAsia="LinLibertineTI" w:cs="LinLibertineTI"/>
          <w:i/>
          <w:color w:val="000000"/>
          <w:kern w:val="0"/>
          <w:sz w:val="14"/>
          <w:szCs w:val="14"/>
          <w:lang w:val="en-US" w:eastAsia="zh-CN" w:bidi="ar"/>
        </w:rPr>
        <w:t xml:space="preserve">IEEE transactions on pattern analysis and machine intelligence </w:t>
      </w:r>
      <w:r>
        <w:rPr>
          <w:rFonts w:hint="default" w:ascii="LinLibertineT" w:hAnsi="LinLibertineT" w:eastAsia="LinLibertineT" w:cs="LinLibertineT"/>
          <w:color w:val="000000"/>
          <w:kern w:val="0"/>
          <w:sz w:val="13"/>
          <w:szCs w:val="13"/>
          <w:lang w:val="en-US" w:eastAsia="zh-CN" w:bidi="ar"/>
        </w:rPr>
        <w:t>(2018).</w:t>
      </w:r>
      <w:r>
        <w:rPr>
          <w:rFonts w:hint="default" w:ascii="LinLibertineT" w:hAnsi="LinLibertineT" w:eastAsia="LinLibertineT" w:cs="LinLibertineT"/>
          <w:color w:val="000000"/>
          <w:kern w:val="0"/>
          <w:sz w:val="13"/>
          <w:szCs w:val="13"/>
          <w:lang w:eastAsia="zh-CN" w:bidi="ar"/>
        </w:rPr>
        <w:t>]</w:t>
      </w:r>
      <w:r>
        <w:t>, OICR[</w:t>
      </w:r>
      <w:r>
        <w:rPr>
          <w:rFonts w:ascii="LinLibertineT" w:hAnsi="LinLibertineT" w:eastAsia="LinLibertineT" w:cs="LinLibertineT"/>
          <w:color w:val="000000"/>
          <w:kern w:val="0"/>
          <w:sz w:val="13"/>
          <w:szCs w:val="13"/>
          <w:lang w:val="en-US" w:eastAsia="zh-CN" w:bidi="ar"/>
        </w:rPr>
        <w:t xml:space="preserve">Peng Tang, Xinggang Wang, Xiang Bai, and Wenyu Liu. 2017. Multiple Instance </w:t>
      </w:r>
      <w:r>
        <w:rPr>
          <w:rFonts w:hint="default" w:ascii="LinLibertineT" w:hAnsi="LinLibertineT" w:eastAsia="LinLibertineT" w:cs="LinLibertineT"/>
          <w:color w:val="000000"/>
          <w:kern w:val="0"/>
          <w:sz w:val="13"/>
          <w:szCs w:val="13"/>
          <w:lang w:val="en-US" w:eastAsia="zh-CN" w:bidi="ar"/>
        </w:rPr>
        <w:t xml:space="preserve">Detection Network with Online Instance Classifier Refinement. In </w:t>
      </w:r>
      <w:r>
        <w:rPr>
          <w:rFonts w:ascii="LinLibertineTI" w:hAnsi="LinLibertineTI" w:eastAsia="LinLibertineTI" w:cs="LinLibertineTI"/>
          <w:i/>
          <w:color w:val="000000"/>
          <w:kern w:val="0"/>
          <w:sz w:val="13"/>
          <w:szCs w:val="13"/>
          <w:lang w:val="en-US" w:eastAsia="zh-CN" w:bidi="ar"/>
        </w:rPr>
        <w:t>CVPR</w:t>
      </w:r>
      <w:r>
        <w:rPr>
          <w:rFonts w:hint="default" w:ascii="LinLibertineT" w:hAnsi="LinLibertineT" w:eastAsia="LinLibertineT" w:cs="LinLibertineT"/>
          <w:color w:val="000000"/>
          <w:kern w:val="0"/>
          <w:sz w:val="13"/>
          <w:szCs w:val="13"/>
          <w:lang w:val="en-US" w:eastAsia="zh-CN" w:bidi="ar"/>
        </w:rPr>
        <w:t xml:space="preserve">. </w:t>
      </w:r>
      <w:r>
        <w:t>]和MELM[</w:t>
      </w:r>
      <w:r>
        <w:rPr>
          <w:rFonts w:ascii="LinLibertineT" w:hAnsi="LinLibertineT" w:eastAsia="LinLibertineT" w:cs="LinLibertineT"/>
          <w:color w:val="000000"/>
          <w:kern w:val="0"/>
          <w:sz w:val="14"/>
          <w:szCs w:val="14"/>
          <w:lang w:val="en-US" w:eastAsia="zh-CN" w:bidi="ar"/>
        </w:rPr>
        <w:t>Fang Wan, Pengxu Wei, Jianbin Jiao, Zhenjun Han, and Qixiang Ye. 2018. Min</w:t>
      </w:r>
      <w:r>
        <w:rPr>
          <w:rFonts w:hint="default" w:ascii="LinLibertineT" w:hAnsi="LinLibertineT" w:eastAsia="LinLibertineT" w:cs="LinLibertineT"/>
          <w:color w:val="000000"/>
          <w:kern w:val="0"/>
          <w:sz w:val="13"/>
          <w:szCs w:val="13"/>
          <w:lang w:val="en-US" w:eastAsia="zh-CN" w:bidi="ar"/>
        </w:rPr>
        <w:t xml:space="preserve">Entropy Latent Model for Weakly Supervised Object Detection. In </w:t>
      </w:r>
      <w:r>
        <w:rPr>
          <w:rFonts w:ascii="LinLibertineTI" w:hAnsi="LinLibertineTI" w:eastAsia="LinLibertineTI" w:cs="LinLibertineTI"/>
          <w:i/>
          <w:color w:val="000000"/>
          <w:kern w:val="0"/>
          <w:sz w:val="13"/>
          <w:szCs w:val="13"/>
          <w:lang w:val="en-US" w:eastAsia="zh-CN" w:bidi="ar"/>
        </w:rPr>
        <w:t xml:space="preserve">Proceedings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nLibertineTI" w:hAnsi="LinLibertineTI" w:eastAsia="LinLibertineTI" w:cs="LinLibertineTI"/>
          <w:i/>
          <w:color w:val="000000"/>
          <w:kern w:val="0"/>
          <w:sz w:val="13"/>
          <w:szCs w:val="13"/>
          <w:lang w:val="en-US" w:eastAsia="zh-CN" w:bidi="ar"/>
        </w:rPr>
        <w:t>the IEEE Conference on Computer Vision and Pattern Recognition</w:t>
      </w:r>
      <w:r>
        <w:rPr>
          <w:rFonts w:hint="default" w:ascii="LinLibertineT" w:hAnsi="LinLibertineT" w:eastAsia="LinLibertineT" w:cs="LinLibertineT"/>
          <w:color w:val="000000"/>
          <w:kern w:val="0"/>
          <w:sz w:val="13"/>
          <w:szCs w:val="13"/>
          <w:lang w:val="en-US" w:eastAsia="zh-CN" w:bidi="ar"/>
        </w:rPr>
        <w:t xml:space="preserve">. 1297–1306. </w:t>
      </w:r>
      <w:r>
        <w:t>],因为该论文提出的方法是不能预测3D检测框的，所以比较是在2维检测结果上进行的，结果显示在recall、AP都是有很大的提升。</w:t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b/>
          <w:bCs/>
          <w:color w:val="C00000"/>
        </w:rPr>
        <w:t>个人总结：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color w:val="auto"/>
        </w:rPr>
        <w:t>提供了一种跨模态知识蒸馏的思路，但是限定需要是成对的数据，还是有些不容易的。论文中关于如何用点云密度无监督筛选候选框还是有借鉴意义的，可以用在一些后处理中。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BiolinumT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5B61AB6"/>
    <w:rsid w:val="2DEB3E3D"/>
    <w:rsid w:val="5AD71101"/>
    <w:rsid w:val="7AFD4E62"/>
    <w:rsid w:val="A5B61AB6"/>
    <w:rsid w:val="CF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2020-08-01T18:44:00Z</dcterms:created>
  <dc:creator>zhangjingyi</dc:creator>
  <cp:lastModifiedBy>zhangjingyi</cp:lastModifiedBy>
  <dcterms:modified xsi:type="dcterms:W3CDTF">2020-08-01T17:46:39Z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