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C37E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38DA9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计算机视觉实验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</w:rPr>
        <w:t>成绩评定</w:t>
      </w:r>
      <w:r>
        <w:rPr>
          <w:rFonts w:eastAsia="楷体_GB2312"/>
          <w:sz w:val="28"/>
          <w:szCs w:val="28"/>
          <w:u w:val="single"/>
        </w:rPr>
        <w:t xml:space="preserve">            </w:t>
      </w:r>
    </w:p>
    <w:p w14:paraId="335FD148">
      <w:pPr>
        <w:bidi w:val="0"/>
        <w:rPr>
          <w:rFonts w:hint="default" w:eastAsia="宋体"/>
          <w:sz w:val="28"/>
          <w:szCs w:val="28"/>
          <w:u w:val="single"/>
          <w:lang w:val="en-US" w:eastAsia="zh-CN"/>
        </w:rPr>
      </w:pPr>
      <w:r>
        <w:rPr>
          <w:rFonts w:hint="eastAsia" w:eastAsia="楷体_GB2312"/>
          <w:sz w:val="28"/>
          <w:szCs w:val="28"/>
        </w:rPr>
        <w:t>实验项目名称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 </w:t>
      </w:r>
      <w:r>
        <w:rPr>
          <w:rFonts w:ascii="宋体" w:hAnsi="宋体" w:eastAsia="宋体" w:cs="宋体"/>
          <w:sz w:val="24"/>
          <w:szCs w:val="24"/>
          <w:u w:val="single"/>
        </w:rPr>
        <w:t>基于 CNN 的手写数字识别模型进阶分析实验</w:t>
      </w:r>
      <w:r>
        <w:rPr>
          <w:rFonts w:hint="eastAsia" w:ascii="宋体" w:hAnsi="宋体" w:cs="宋体"/>
          <w:sz w:val="24"/>
          <w:szCs w:val="24"/>
          <w:u w:val="single"/>
          <w:lang w:val="en-US" w:eastAsia="zh-CN"/>
        </w:rPr>
        <w:t xml:space="preserve">   </w:t>
      </w:r>
    </w:p>
    <w:p w14:paraId="16FE2D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>赵乘骥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仿真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教108</w:t>
      </w:r>
      <w:r>
        <w:rPr>
          <w:rFonts w:eastAsia="楷体_GB2312"/>
          <w:sz w:val="28"/>
          <w:szCs w:val="28"/>
          <w:u w:val="single"/>
        </w:rPr>
        <w:t xml:space="preserve">        </w:t>
      </w:r>
    </w:p>
    <w:p w14:paraId="3018A5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eastAsia="楷体_GB2312"/>
          <w:sz w:val="28"/>
          <w:szCs w:val="28"/>
          <w:u w:val="single"/>
        </w:rPr>
      </w:pPr>
      <w:r>
        <w:rPr>
          <w:rFonts w:hint="eastAsia" w:eastAsia="楷体_GB2312"/>
          <w:sz w:val="28"/>
          <w:szCs w:val="28"/>
        </w:rPr>
        <w:t>学生姓名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卢嘉伟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   2023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101142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</w:rPr>
        <w:t>组号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</w:rPr>
        <w:t>无</w:t>
      </w:r>
      <w:r>
        <w:rPr>
          <w:rFonts w:eastAsia="楷体_GB2312"/>
          <w:sz w:val="28"/>
          <w:szCs w:val="28"/>
          <w:u w:val="single"/>
        </w:rPr>
        <w:t xml:space="preserve">               </w:t>
      </w:r>
    </w:p>
    <w:p w14:paraId="3C7F59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eastAsia="楷体_GB2312"/>
          <w:sz w:val="28"/>
          <w:szCs w:val="28"/>
          <w:u w:val="single"/>
        </w:rPr>
      </w:pPr>
      <w:r>
        <w:rPr>
          <w:rFonts w:hint="eastAsia"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  <w:u w:val="single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hint="eastAsia" w:eastAsia="楷体_GB2312"/>
          <w:sz w:val="28"/>
          <w:szCs w:val="28"/>
        </w:rPr>
        <w:t>系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hint="eastAsia"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>自动化</w:t>
      </w:r>
      <w:r>
        <w:rPr>
          <w:rFonts w:eastAsia="楷体_GB2312"/>
          <w:sz w:val="28"/>
          <w:szCs w:val="28"/>
          <w:u w:val="single"/>
        </w:rPr>
        <w:t xml:space="preserve">                </w:t>
      </w:r>
      <w:r>
        <w:rPr>
          <w:rFonts w:eastAsia="楷体_GB2312"/>
          <w:sz w:val="28"/>
          <w:szCs w:val="28"/>
        </w:rPr>
        <w:t xml:space="preserve">  </w:t>
      </w:r>
    </w:p>
    <w:p w14:paraId="7CA21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实验时间</w:t>
      </w:r>
      <w:r>
        <w:rPr>
          <w:rFonts w:eastAsia="楷体_GB2312"/>
          <w:sz w:val="28"/>
          <w:szCs w:val="28"/>
          <w:u w:val="single"/>
        </w:rPr>
        <w:t>202</w:t>
      </w:r>
      <w:r>
        <w:rPr>
          <w:rFonts w:hint="eastAsia" w:eastAsia="楷体_GB2312"/>
          <w:sz w:val="28"/>
          <w:szCs w:val="28"/>
          <w:u w:val="single"/>
        </w:rPr>
        <w:t>6</w:t>
      </w:r>
      <w:r>
        <w:rPr>
          <w:rFonts w:hint="eastAsia" w:eastAsia="楷体_GB2312"/>
          <w:sz w:val="28"/>
          <w:szCs w:val="28"/>
        </w:rPr>
        <w:t>年</w:t>
      </w:r>
      <w:r>
        <w:rPr>
          <w:rFonts w:hint="eastAsia" w:eastAsia="楷体_GB2312"/>
          <w:sz w:val="28"/>
          <w:szCs w:val="28"/>
          <w:lang w:val="en-US" w:eastAsia="zh-CN"/>
        </w:rPr>
        <w:t>5</w:t>
      </w:r>
      <w:r>
        <w:rPr>
          <w:rFonts w:hint="eastAsia" w:eastAsia="楷体_GB2312"/>
          <w:sz w:val="28"/>
          <w:szCs w:val="28"/>
        </w:rPr>
        <w:t>月</w:t>
      </w:r>
      <w:r>
        <w:rPr>
          <w:rFonts w:hint="eastAsia" w:eastAsia="楷体_GB2312"/>
          <w:sz w:val="28"/>
          <w:szCs w:val="28"/>
          <w:lang w:val="en-US" w:eastAsia="zh-CN"/>
        </w:rPr>
        <w:t>22</w:t>
      </w:r>
      <w:r>
        <w:rPr>
          <w:rFonts w:hint="eastAsia" w:eastAsia="楷体_GB2312"/>
          <w:sz w:val="28"/>
          <w:szCs w:val="28"/>
        </w:rPr>
        <w:t>日</w:t>
      </w:r>
      <w:r>
        <w:rPr>
          <w:rFonts w:hint="eastAsia" w:eastAsia="楷体_GB2312"/>
          <w:sz w:val="28"/>
          <w:szCs w:val="28"/>
          <w:u w:val="single"/>
        </w:rPr>
        <w:t>下</w:t>
      </w:r>
      <w:r>
        <w:rPr>
          <w:rFonts w:hint="eastAsia" w:eastAsia="楷体_GB2312"/>
          <w:sz w:val="28"/>
          <w:szCs w:val="28"/>
        </w:rPr>
        <w:t>午～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5</w:t>
      </w:r>
      <w:r>
        <w:rPr>
          <w:rFonts w:hint="eastAsia" w:eastAsia="楷体_GB2312"/>
          <w:sz w:val="28"/>
          <w:szCs w:val="28"/>
        </w:rPr>
        <w:t>月</w:t>
      </w:r>
      <w:r>
        <w:rPr>
          <w:rFonts w:hint="eastAsia" w:eastAsia="楷体_GB2312"/>
          <w:sz w:val="28"/>
          <w:szCs w:val="28"/>
          <w:lang w:val="en-US" w:eastAsia="zh-CN"/>
        </w:rPr>
        <w:t>22</w:t>
      </w:r>
      <w:r>
        <w:rPr>
          <w:rFonts w:hint="eastAsia" w:eastAsia="楷体_GB2312"/>
          <w:sz w:val="28"/>
          <w:szCs w:val="28"/>
        </w:rPr>
        <w:t>日</w:t>
      </w:r>
      <w:r>
        <w:rPr>
          <w:rFonts w:hint="eastAsia" w:eastAsia="楷体_GB2312"/>
          <w:sz w:val="28"/>
          <w:szCs w:val="28"/>
          <w:u w:val="single"/>
        </w:rPr>
        <w:t>下</w:t>
      </w:r>
      <w:r>
        <w:rPr>
          <w:rFonts w:hint="eastAsia" w:eastAsia="楷体_GB2312"/>
          <w:sz w:val="28"/>
          <w:szCs w:val="28"/>
        </w:rPr>
        <w:t>午温度</w:t>
      </w:r>
      <w:r>
        <w:rPr>
          <w:rFonts w:hint="eastAsia" w:eastAsia="楷体_GB2312"/>
          <w:sz w:val="28"/>
          <w:szCs w:val="28"/>
          <w:u w:val="single"/>
        </w:rPr>
        <w:t>22</w:t>
      </w:r>
      <w:r>
        <w:rPr>
          <w:rFonts w:eastAsia="楷体_GB2312"/>
          <w:sz w:val="28"/>
          <w:szCs w:val="28"/>
        </w:rPr>
        <w:t>℃</w:t>
      </w:r>
      <w:r>
        <w:rPr>
          <w:rFonts w:hint="eastAsia" w:eastAsia="楷体_GB2312"/>
          <w:sz w:val="28"/>
          <w:szCs w:val="28"/>
        </w:rPr>
        <w:t>湿度</w:t>
      </w:r>
      <w:r>
        <w:rPr>
          <w:rFonts w:eastAsia="楷体_GB2312"/>
          <w:sz w:val="28"/>
          <w:szCs w:val="28"/>
          <w:u w:val="single"/>
        </w:rPr>
        <w:t xml:space="preserve"> 73%  </w:t>
      </w:r>
      <w:r>
        <w:rPr>
          <w:rFonts w:eastAsia="楷体_GB2312"/>
          <w:sz w:val="28"/>
          <w:szCs w:val="28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                    </w:t>
      </w:r>
      <w:r>
        <w:rPr>
          <w:rFonts w:eastAsia="楷体_GB2312"/>
          <w:sz w:val="28"/>
          <w:szCs w:val="28"/>
        </w:rPr>
        <w:t xml:space="preserve">       </w:t>
      </w:r>
      <w:r>
        <w:rPr>
          <w:rFonts w:eastAsia="楷体_GB2312"/>
          <w:sz w:val="28"/>
          <w:szCs w:val="28"/>
          <w:u w:val="single"/>
        </w:rPr>
        <w:t xml:space="preserve">              </w:t>
      </w:r>
      <w:r>
        <w:rPr>
          <w:rFonts w:eastAsia="楷体_GB2312"/>
          <w:sz w:val="28"/>
          <w:szCs w:val="28"/>
        </w:rPr>
        <w:t xml:space="preserve">      </w:t>
      </w:r>
      <w:r>
        <w:rPr>
          <w:rFonts w:eastAsia="楷体_GB2312"/>
          <w:sz w:val="28"/>
          <w:szCs w:val="28"/>
          <w:u w:val="single"/>
        </w:rPr>
        <w:t xml:space="preserve">         </w:t>
      </w:r>
    </w:p>
    <w:p w14:paraId="67B68DA8">
      <w:pPr>
        <w:pStyle w:val="3"/>
        <w:bidi w:val="0"/>
      </w:pPr>
      <w:r>
        <w:rPr>
          <w:rFonts w:hint="eastAsia"/>
          <w:lang w:val="en-US" w:eastAsia="zh-CN"/>
        </w:rPr>
        <w:t>一．</w:t>
      </w:r>
      <w:r>
        <w:t>实验目的</w:t>
      </w:r>
    </w:p>
    <w:p w14:paraId="10BB92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本实验基于 MNIST 手写数字识别任务，对卷积神经网络（CNN）模型进行多维度进阶分析。实验旨在对比 SGD、带动量的 SGD 与 Adam 三种优化器的训练效果，探究不同学习率对模型收敛性与最终精度的影响；通过可视化卷积核与特征图，理解 CNN 的特征提取机制；同时分析错误分类样本与混淆矩阵，定位模型弱点并全面评估性能，最终掌握卷积神经网络的训练优化方法与模型行为分析手段。</w:t>
      </w:r>
    </w:p>
    <w:p w14:paraId="301B4B15">
      <w:pPr>
        <w:pStyle w:val="3"/>
        <w:bidi w:val="0"/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>二</w:t>
      </w:r>
      <w:r>
        <w:t xml:space="preserve">. </w:t>
      </w:r>
      <w:r>
        <w:rPr>
          <w:rFonts w:hint="eastAsia"/>
          <w:lang w:val="en-US" w:eastAsia="zh-CN"/>
        </w:rPr>
        <w:t>实验内容</w:t>
      </w:r>
    </w:p>
    <w:p w14:paraId="5C223C48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任务2：</w:t>
      </w:r>
      <w:r>
        <w:t>优化器对比</w:t>
      </w:r>
    </w:p>
    <w:p w14:paraId="5F814E91">
      <w:r>
        <w:drawing>
          <wp:inline distT="0" distB="0" distL="114300" distR="114300">
            <wp:extent cx="5273040" cy="3020695"/>
            <wp:effectExtent l="0" t="0" r="381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81B33">
      <w:pPr>
        <w:pStyle w:val="4"/>
        <w:bidi w:val="0"/>
      </w:pPr>
      <w:r>
        <w:rPr>
          <w:rFonts w:hint="eastAsia"/>
          <w:lang w:val="en-US" w:eastAsia="zh-CN"/>
        </w:rPr>
        <w:t>任务3：</w:t>
      </w:r>
      <w:r>
        <w:t>学习率对比</w:t>
      </w:r>
    </w:p>
    <w:p w14:paraId="022551AC">
      <w:r>
        <w:drawing>
          <wp:inline distT="0" distB="0" distL="114300" distR="114300">
            <wp:extent cx="5269865" cy="2251075"/>
            <wp:effectExtent l="0" t="0" r="6985" b="158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250EC">
      <w:pPr>
        <w:pStyle w:val="4"/>
        <w:keepNext w:val="0"/>
        <w:keepLines w:val="0"/>
        <w:widowControl/>
        <w:suppressLineNumbers w:val="0"/>
      </w:pPr>
      <w:r>
        <w:t>任务 4：卷积核可视化</w:t>
      </w:r>
    </w:p>
    <w:p w14:paraId="22F620D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6690" cy="1053465"/>
            <wp:effectExtent l="0" t="0" r="10160" b="13335"/>
            <wp:docPr id="3" name="图片 3" descr="Figur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igure_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C3011">
      <w:pPr>
        <w:pStyle w:val="5"/>
        <w:bidi w:val="0"/>
      </w:pPr>
      <w:r>
        <w:t>1. 特征呈现分析</w:t>
      </w:r>
    </w:p>
    <w:p w14:paraId="05C355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从可视化结果可以看出，训练后的卷积核明显呈现出不同的边缘、方向和纹理特征：</w:t>
      </w:r>
    </w:p>
    <w:p w14:paraId="593C956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部分卷积核呈现</w:t>
      </w:r>
      <w:r>
        <w:rPr>
          <w:rStyle w:val="11"/>
          <w:color w:val="000000"/>
          <w:sz w:val="24"/>
          <w:szCs w:val="24"/>
          <w:bdr w:val="none" w:color="auto" w:sz="0" w:space="0"/>
        </w:rPr>
        <w:t>水平或垂直边缘检测模式</w:t>
      </w:r>
      <w:r>
        <w:rPr>
          <w:color w:val="000000"/>
          <w:sz w:val="24"/>
          <w:szCs w:val="24"/>
          <w:bdr w:val="none" w:color="auto" w:sz="0" w:space="0"/>
        </w:rPr>
        <w:t>，对图像中的水平或垂直笔画响应强烈；</w:t>
      </w:r>
    </w:p>
    <w:p w14:paraId="17EFC7B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部分卷积核呈现</w:t>
      </w:r>
      <w:r>
        <w:rPr>
          <w:rStyle w:val="11"/>
          <w:color w:val="000000"/>
          <w:sz w:val="24"/>
          <w:szCs w:val="24"/>
          <w:bdr w:val="none" w:color="auto" w:sz="0" w:space="0"/>
        </w:rPr>
        <w:t>斜向边缘模式</w:t>
      </w:r>
      <w:r>
        <w:rPr>
          <w:color w:val="000000"/>
          <w:sz w:val="24"/>
          <w:szCs w:val="24"/>
          <w:bdr w:val="none" w:color="auto" w:sz="0" w:space="0"/>
        </w:rPr>
        <w:t>，能够捕捉手写数字中的斜向笔画特征；</w:t>
      </w:r>
    </w:p>
    <w:p w14:paraId="451CD93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还有部分卷积核呈现</w:t>
      </w:r>
      <w:r>
        <w:rPr>
          <w:rStyle w:val="11"/>
          <w:color w:val="000000"/>
          <w:sz w:val="24"/>
          <w:szCs w:val="24"/>
          <w:bdr w:val="none" w:color="auto" w:sz="0" w:space="0"/>
        </w:rPr>
        <w:t>局部亮度对比模式</w:t>
      </w:r>
      <w:r>
        <w:rPr>
          <w:color w:val="000000"/>
          <w:sz w:val="24"/>
          <w:szCs w:val="24"/>
          <w:bdr w:val="none" w:color="auto" w:sz="0" w:space="0"/>
        </w:rPr>
        <w:t>，对数字与背景的边界、局部纹理变化敏感。 这些模式与手写数字识别任务中所需的基础视觉特征高度吻合。</w:t>
      </w:r>
    </w:p>
    <w:p w14:paraId="33EC66B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卷积核的训练过程说明</w:t>
      </w:r>
    </w:p>
    <w:p w14:paraId="5B57D7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卷积核的权重是通过</w:t>
      </w:r>
      <w:r>
        <w:rPr>
          <w:rStyle w:val="11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反向传播算法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自动学习得到的：</w:t>
      </w:r>
    </w:p>
    <w:p w14:paraId="71EBF30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初始化阶段，卷积核的权重为随机值；</w:t>
      </w:r>
    </w:p>
    <w:p w14:paraId="1850A30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训练过程中，模型通过前向传播计算预测结果与真实标签的误差；</w:t>
      </w:r>
    </w:p>
    <w:p w14:paraId="4523FE5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利用反向传播，将误差逐层传递回卷积层，并根据梯度下降算法更新卷积核的权重；</w:t>
      </w:r>
    </w:p>
    <w:p w14:paraId="06F983A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经过多轮迭代，卷积核逐渐优化为能够有效提取手写数字边缘、方向等关键特征的模式，以最小化分类误差。</w:t>
      </w:r>
    </w:p>
    <w:p w14:paraId="415C9B42">
      <w:pPr>
        <w:pStyle w:val="4"/>
        <w:keepNext w:val="0"/>
        <w:keepLines w:val="0"/>
        <w:widowControl/>
        <w:suppressLineNumbers w:val="0"/>
      </w:pPr>
      <w:r>
        <w:t xml:space="preserve">任务 5：Feature </w:t>
      </w:r>
      <w:r>
        <w:rPr>
          <w:rFonts w:hint="eastAsia"/>
          <w:lang w:val="en-US" w:eastAsia="zh-CN"/>
        </w:rPr>
        <w:t xml:space="preserve">map 可视化 </w:t>
      </w:r>
      <w:r>
        <w:drawing>
          <wp:inline distT="0" distB="0" distL="114300" distR="114300">
            <wp:extent cx="5266690" cy="1053465"/>
            <wp:effectExtent l="0" t="0" r="10160" b="13335"/>
            <wp:docPr id="4" name="图片 4" descr="Figure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igure_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1E4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不同特征图的响应区域分析</w:t>
      </w:r>
    </w:p>
    <w:p w14:paraId="4C7216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从可视化结果可以看出，不同的特征图对图像的不同区域呈现出明显的强弱响应：</w:t>
      </w:r>
    </w:p>
    <w:p w14:paraId="43451AA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部分特征图对数字 “7” 的 ** 水平笔画（顶部横线）** 响应强烈，对应卷积核主要提取水平边缘特征；</w:t>
      </w:r>
    </w:p>
    <w:p w14:paraId="23312E2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部分特征图对数字 “7” 的 ** 斜向笔画（下方竖线）** 响应强烈，对应卷积核主要提取斜向边缘特征；</w:t>
      </w:r>
    </w:p>
    <w:p w14:paraId="11E11BC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还有部分特征图对数字与背景的</w:t>
      </w:r>
      <w:r>
        <w:rPr>
          <w:rStyle w:val="11"/>
          <w:color w:val="000000"/>
          <w:sz w:val="24"/>
          <w:szCs w:val="24"/>
          <w:bdr w:val="none" w:color="auto" w:sz="0" w:space="0"/>
        </w:rPr>
        <w:t>轮廓边界</w:t>
      </w:r>
      <w:r>
        <w:rPr>
          <w:color w:val="000000"/>
          <w:sz w:val="24"/>
          <w:szCs w:val="24"/>
          <w:bdr w:val="none" w:color="auto" w:sz="0" w:space="0"/>
        </w:rPr>
        <w:t>整体响应较强，能够突出数字的整体形状，而忽略内部细节。</w:t>
      </w:r>
    </w:p>
    <w:p w14:paraId="1633457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卷积核与提取特征的对应关系</w:t>
      </w:r>
    </w:p>
    <w:p w14:paraId="1F94CF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不同的卷积核通过训练，分别学习到了不同的图像特征：</w:t>
      </w:r>
    </w:p>
    <w:p w14:paraId="4EEBD30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响应水平笔画的卷积核，其权重模式偏向水平方向的边缘检测；</w:t>
      </w:r>
    </w:p>
    <w:p w14:paraId="41D19C9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响应斜向笔画的卷积核，其权重模式偏向斜向方向的边缘检测；</w:t>
      </w:r>
    </w:p>
    <w:p w14:paraId="461BB5D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响应轮廓边界的卷积核，其权重模式更关注局部亮度变化和整体轮廓，对数字与背景的对比信息敏感。 这些不同的特征提取结果，共同构成了模型对数字图像的基础理解，为后续的分类任务提供了关键信息。</w:t>
      </w:r>
    </w:p>
    <w:p w14:paraId="43935E89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t>任务 6：错误分类样本分析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6690" cy="1053465"/>
            <wp:effectExtent l="0" t="0" r="10160" b="13335"/>
            <wp:docPr id="5" name="图片 5" descr="Figure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igure_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7037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易混淆类别分析</w:t>
      </w:r>
    </w:p>
    <w:p w14:paraId="6FD507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从错误样本可以看出，模型最容易混淆的类别主要包括：</w:t>
      </w:r>
    </w:p>
    <w:p w14:paraId="5808B40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3 ↔ 8</w:t>
      </w:r>
      <w:r>
        <w:rPr>
          <w:color w:val="000000"/>
          <w:sz w:val="24"/>
          <w:szCs w:val="24"/>
          <w:bdr w:val="none" w:color="auto" w:sz="0" w:space="0"/>
        </w:rPr>
        <w:t>：手写的 “3” 和 “8” 结构相似，尤其是当 “3” 的下半部分连笔时，模型容易误判为 “8”；</w:t>
      </w:r>
    </w:p>
    <w:p w14:paraId="61A0F12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9 ↔ 4</w:t>
      </w:r>
      <w:r>
        <w:rPr>
          <w:color w:val="000000"/>
          <w:sz w:val="24"/>
          <w:szCs w:val="24"/>
          <w:bdr w:val="none" w:color="auto" w:sz="0" w:space="0"/>
        </w:rPr>
        <w:t>：手写的 “9” 顶部变形或底部不闭合时，容易被误判为 “4”；</w:t>
      </w:r>
    </w:p>
    <w:p w14:paraId="736082E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6 ↔ 0</w:t>
      </w:r>
      <w:r>
        <w:rPr>
          <w:color w:val="000000"/>
          <w:sz w:val="24"/>
          <w:szCs w:val="24"/>
          <w:bdr w:val="none" w:color="auto" w:sz="0" w:space="0"/>
        </w:rPr>
        <w:t>：手写的 “6” 如果下半部分不明显，模型容易将其误判为 “0”；</w:t>
      </w:r>
    </w:p>
    <w:p w14:paraId="0F86EC9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2 ↔ 8</w:t>
      </w:r>
      <w:r>
        <w:rPr>
          <w:color w:val="000000"/>
          <w:sz w:val="24"/>
          <w:szCs w:val="24"/>
          <w:bdr w:val="none" w:color="auto" w:sz="0" w:space="0"/>
        </w:rPr>
        <w:t>：部分手写的 “2” 笔画圆润，轮廓与 “8” 的上半部分相似，导致误判。</w:t>
      </w:r>
    </w:p>
    <w:p w14:paraId="6AEDB96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错误原因分析</w:t>
      </w:r>
    </w:p>
    <w:p w14:paraId="071B31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错误产生的主要原因包括：</w:t>
      </w:r>
    </w:p>
    <w:p w14:paraId="28C9CDC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手写变形与不规范</w:t>
      </w:r>
      <w:r>
        <w:rPr>
          <w:color w:val="000000"/>
          <w:sz w:val="24"/>
          <w:szCs w:val="24"/>
          <w:bdr w:val="none" w:color="auto" w:sz="0" w:space="0"/>
        </w:rPr>
        <w:t>：部分样本的笔画存在连笔、变形、模糊或不闭合的情况，与模型训练时学习到的标准数字模式差异较大；</w:t>
      </w:r>
    </w:p>
    <w:p w14:paraId="53218FE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类别间结构相似性</w:t>
      </w:r>
      <w:r>
        <w:rPr>
          <w:color w:val="000000"/>
          <w:sz w:val="24"/>
          <w:szCs w:val="24"/>
          <w:bdr w:val="none" w:color="auto" w:sz="0" w:space="0"/>
        </w:rPr>
        <w:t>：3 与 8、9 与 4 等数字的笔画结构本身具有较高的相似性，模型在局部特征提取时容易混淆；</w:t>
      </w:r>
    </w:p>
    <w:p w14:paraId="580D993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模型容量限制</w:t>
      </w:r>
      <w:r>
        <w:rPr>
          <w:color w:val="000000"/>
          <w:sz w:val="24"/>
          <w:szCs w:val="24"/>
          <w:bdr w:val="none" w:color="auto" w:sz="0" w:space="0"/>
        </w:rPr>
        <w:t>：当前网络结构较浅，对复杂变形和细微差异的区分能力有限。</w:t>
      </w:r>
    </w:p>
    <w:p w14:paraId="756DDA1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 改进方案</w:t>
      </w:r>
    </w:p>
    <w:p w14:paraId="492817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为了提高模型的准确率，可以从以下几个方面进行改进：</w:t>
      </w:r>
    </w:p>
    <w:p w14:paraId="03C07AA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数据层面</w:t>
      </w:r>
      <w:r>
        <w:rPr>
          <w:color w:val="000000"/>
          <w:sz w:val="24"/>
          <w:szCs w:val="24"/>
          <w:bdr w:val="none" w:color="auto" w:sz="0" w:space="0"/>
        </w:rPr>
        <w:t>：引入数据增强（如随机旋转、平移、缩放、添加噪声），增加模型对变形样本的鲁棒性；</w:t>
      </w:r>
    </w:p>
    <w:p w14:paraId="57DA2B2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模型结构层面</w:t>
      </w:r>
      <w:r>
        <w:rPr>
          <w:color w:val="000000"/>
          <w:sz w:val="24"/>
          <w:szCs w:val="24"/>
          <w:bdr w:val="none" w:color="auto" w:sz="0" w:space="0"/>
        </w:rPr>
        <w:t>：加深网络结构（如增加卷积层或全连接层），或引入 Dropout 层、Batch Normalization 层，提升模型的特征提取能力和泛化能力；</w:t>
      </w:r>
    </w:p>
    <w:p w14:paraId="6BC1CBA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训练方法层面</w:t>
      </w:r>
      <w:r>
        <w:rPr>
          <w:color w:val="000000"/>
          <w:sz w:val="24"/>
          <w:szCs w:val="24"/>
          <w:bdr w:val="none" w:color="auto" w:sz="0" w:space="0"/>
        </w:rPr>
        <w:t>：采用学习率衰减策略，或使用更先进的优化器（如 AdamW），并适当增加训练轮数，让模型充分学习到更具区分度的特征。</w:t>
      </w:r>
    </w:p>
    <w:p w14:paraId="24ADA669">
      <w:pPr>
        <w:pStyle w:val="4"/>
        <w:keepNext w:val="0"/>
        <w:keepLines w:val="0"/>
        <w:widowControl/>
        <w:suppressLineNumbers w:val="0"/>
      </w:pPr>
      <w:r>
        <w:t>任务 7：混淆矩阵</w:t>
      </w:r>
    </w:p>
    <w:p w14:paraId="582513C1">
      <w:pPr>
        <w:pStyle w:val="8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4310" cy="3955415"/>
            <wp:effectExtent l="0" t="0" r="2540" b="6985"/>
            <wp:docPr id="6" name="图片 6" descr="Figure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igure_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182FB">
      <w:pPr>
        <w:pStyle w:val="8"/>
        <w:keepNext w:val="0"/>
        <w:keepLines w:val="0"/>
        <w:widowControl/>
        <w:suppressLineNumbers w:val="0"/>
      </w:pPr>
      <w:r>
        <w:t>分析：</w:t>
      </w:r>
    </w:p>
    <w:p w14:paraId="58B5870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混淆矩阵元素含义</w:t>
      </w:r>
    </w:p>
    <w:p w14:paraId="3EBA848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对角线元素</w:t>
      </w:r>
      <w:r>
        <w:rPr>
          <w:color w:val="000000"/>
          <w:sz w:val="24"/>
          <w:szCs w:val="24"/>
          <w:bdr w:val="none" w:color="auto" w:sz="0" w:space="0"/>
        </w:rPr>
        <w:t>：代表模型分类正确的样本数量。数值越高，说明该类别的识别准确率越高。从矩阵中可以看到，所有类别的对角线数值都很高，表明模型对大部分数字的识别都非常准确。</w:t>
      </w:r>
    </w:p>
    <w:p w14:paraId="412AAB8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非对角线元素</w:t>
      </w:r>
      <w:r>
        <w:rPr>
          <w:color w:val="000000"/>
          <w:sz w:val="24"/>
          <w:szCs w:val="24"/>
          <w:bdr w:val="none" w:color="auto" w:sz="0" w:space="0"/>
        </w:rPr>
        <w:t>：代表模型将真实类别预测为其他类别的样本数量。数值越高，说明这两个类别之间越容易混淆。</w:t>
      </w:r>
    </w:p>
    <w:p w14:paraId="40877D3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最易混淆的类别</w:t>
      </w:r>
    </w:p>
    <w:p w14:paraId="285C40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从混淆矩阵中可以清晰地看到，</w:t>
      </w:r>
      <w:r>
        <w:rPr>
          <w:rStyle w:val="11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数字 9 和数字 4 之间的混淆最为严重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，矩阵中 </w:t>
      </w:r>
      <w:r>
        <w:rPr>
          <w:rStyle w:val="12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真实标签9，预测标签4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的值为 13，</w:t>
      </w:r>
      <w:r>
        <w:rPr>
          <w:rStyle w:val="12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真实标签4，预测标签9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的值为 8，远高于其他类别间的错误数量。此外，数字 7 与数字 2、数字 8 与数字 3 之间也存在一定程度的混淆，这与任务 6 中错误样本分析的结论完全吻合。</w:t>
      </w:r>
    </w:p>
    <w:p w14:paraId="795EE5D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 综合分析</w:t>
      </w:r>
    </w:p>
    <w:p w14:paraId="4D0876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混淆矩阵直观地揭示了模型的整体性能和薄弱环节。模型对大部分数字都能进行准确识别，但对于结构相似、手写变形较大的数字（如 9 和 4、3 和 8）区分能力较弱。后续可以针对这些易混淆类别，通过数据增强、模型结构优化或调整损失函数等方式，进一步提升模型的泛化能力和鲁棒性。</w:t>
      </w:r>
    </w:p>
    <w:p w14:paraId="11EC3889">
      <w:pPr>
        <w:pStyle w:val="3"/>
        <w:bidi w:val="0"/>
      </w:pPr>
      <w:r>
        <w:rPr>
          <w:rFonts w:hint="eastAsia"/>
          <w:lang w:val="en-US" w:eastAsia="zh-CN"/>
        </w:rPr>
        <w:t>三．</w:t>
      </w:r>
      <w:bookmarkStart w:id="0" w:name="_GoBack"/>
      <w:bookmarkEnd w:id="0"/>
      <w:r>
        <w:t>实验总结</w:t>
      </w:r>
    </w:p>
    <w:p w14:paraId="712629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本次实验基于 MNIST 手写数字识别任务，对卷积神经网络（CNN）模型进行了多维度进阶分析，系统探究了优化器、学习率、卷积核、特征图、错误样本与混淆矩阵等关键要素，完整达成了实验预设目标。</w:t>
      </w:r>
    </w:p>
    <w:p w14:paraId="37C3C1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通过优化器对比实验，验证了 SGD、带动量的 SGD 与 Adam 三种优化器的训练特性：SGD 收敛速度最慢，且训练过程震荡明显；带动量的 SGD 收敛速度有所提升，稳定性也显著增强；Adam 优化器在收敛速度、训练稳定性与最终测试准确率上均表现最优，更适合本次手写数字识别任务。</w:t>
      </w:r>
    </w:p>
    <w:p w14:paraId="06AD28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在学习率对比实验中，以 Adam 优化器为基础，探究了不同学习率对模型的影响：学习率为 0.1 时，模型训练过程震荡剧烈，难以收敛；学习率为 0.01 时，模型收敛速度较快，但仍存在一定波动；学习率为 0.001 时，模型训练过程平稳，收敛效果最佳，测试准确率也达到最高水平，表明合理的学习率是模型成功训练的关键。</w:t>
      </w:r>
    </w:p>
    <w:p w14:paraId="4F74E3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卷积核与特征图可视化结果直观揭示了 CNN 的特征提取机制：训练后的第一层卷积核呈现出水平边缘、垂直边缘、斜向边缘及局部亮度对比等多种模式，能够有效捕捉手写数字的基础视觉特征；不同特征图对输入图像的响应区域各不相同，分别对数字的水平笔画、斜向笔画或整体轮廓表现出强烈响应，共同构成了模型对数字图像的基础理解。</w:t>
      </w:r>
    </w:p>
    <w:p w14:paraId="156D64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错误样本分析与混淆矩阵结果进一步定位了模型的薄弱环节：模型最易混淆的数字类别为 3 与 8、9 与 4、6 与 0 等，主要原因是这些数字的手写结构相似，且部分样本存在变形、连笔、模糊等问题。结合实验结果，可通过数据增强、加深网络结构、引入正则化方法、调整训练策略等方式进一步提升模型的准确率与泛化能力。</w:t>
      </w:r>
    </w:p>
    <w:p w14:paraId="503D92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次实验让我对卷积神经网络的训练过程、优化方法与内部工作机制有了更深刻的理解，不仅掌握了模型性能分析的基本方法，也认识到合理选择超参数、优化训练策略对模型性能的重要影响，为后续深度学习相关学习与实践奠定了坚实基础。</w:t>
      </w:r>
    </w:p>
    <w:p w14:paraId="5BB808BA">
      <w:pPr>
        <w:pStyle w:val="4"/>
        <w:bidi w:val="0"/>
        <w:rPr>
          <w:rFonts w:hint="default"/>
          <w:lang w:val="en-US" w:eastAsia="zh-CN"/>
        </w:rPr>
      </w:pPr>
    </w:p>
    <w:p w14:paraId="3A260B77">
      <w:pPr>
        <w:pStyle w:val="4"/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unse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E8AF01"/>
    <w:multiLevelType w:val="multilevel"/>
    <w:tmpl w:val="A8E8AF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8EB1662"/>
    <w:multiLevelType w:val="multilevel"/>
    <w:tmpl w:val="C8EB16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108F28B"/>
    <w:multiLevelType w:val="multilevel"/>
    <w:tmpl w:val="D108F2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7873891"/>
    <w:multiLevelType w:val="multilevel"/>
    <w:tmpl w:val="D78738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08DDC3A"/>
    <w:multiLevelType w:val="multilevel"/>
    <w:tmpl w:val="008DDC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2D4797E"/>
    <w:multiLevelType w:val="multilevel"/>
    <w:tmpl w:val="22D479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8CC20A7"/>
    <w:multiLevelType w:val="multilevel"/>
    <w:tmpl w:val="28CC20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996048B"/>
    <w:multiLevelType w:val="multilevel"/>
    <w:tmpl w:val="499604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1"/>
  </w:num>
  <w:num w:numId="5">
    <w:abstractNumId w:val="5"/>
  </w:num>
  <w:num w:numId="6">
    <w:abstractNumId w:val="7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626"/>
    <w:rsid w:val="0004752F"/>
    <w:rsid w:val="00076C0D"/>
    <w:rsid w:val="00093AF5"/>
    <w:rsid w:val="000C26E7"/>
    <w:rsid w:val="000E4E9A"/>
    <w:rsid w:val="00116FF9"/>
    <w:rsid w:val="001342B5"/>
    <w:rsid w:val="00136560"/>
    <w:rsid w:val="00186AD2"/>
    <w:rsid w:val="00195F17"/>
    <w:rsid w:val="001C618B"/>
    <w:rsid w:val="001E16F4"/>
    <w:rsid w:val="00216EE1"/>
    <w:rsid w:val="0022501A"/>
    <w:rsid w:val="002C4EBC"/>
    <w:rsid w:val="002D1DF7"/>
    <w:rsid w:val="002D5232"/>
    <w:rsid w:val="00326D76"/>
    <w:rsid w:val="00327EEB"/>
    <w:rsid w:val="00337853"/>
    <w:rsid w:val="00346B68"/>
    <w:rsid w:val="003C316D"/>
    <w:rsid w:val="003C3BE2"/>
    <w:rsid w:val="003F6A4C"/>
    <w:rsid w:val="00420652"/>
    <w:rsid w:val="00426CED"/>
    <w:rsid w:val="00435C35"/>
    <w:rsid w:val="00456E4E"/>
    <w:rsid w:val="00475A0E"/>
    <w:rsid w:val="00476052"/>
    <w:rsid w:val="00496FD1"/>
    <w:rsid w:val="004D3E8B"/>
    <w:rsid w:val="004E5EAC"/>
    <w:rsid w:val="005501D5"/>
    <w:rsid w:val="00566B23"/>
    <w:rsid w:val="00591557"/>
    <w:rsid w:val="005948B6"/>
    <w:rsid w:val="0062596B"/>
    <w:rsid w:val="00634CCF"/>
    <w:rsid w:val="006437A2"/>
    <w:rsid w:val="00651489"/>
    <w:rsid w:val="0068188D"/>
    <w:rsid w:val="006A6875"/>
    <w:rsid w:val="006C09C9"/>
    <w:rsid w:val="006D5DF7"/>
    <w:rsid w:val="006D69FC"/>
    <w:rsid w:val="006D79AE"/>
    <w:rsid w:val="006E5DBC"/>
    <w:rsid w:val="0070730F"/>
    <w:rsid w:val="0072500C"/>
    <w:rsid w:val="00733091"/>
    <w:rsid w:val="00745F12"/>
    <w:rsid w:val="00747045"/>
    <w:rsid w:val="00755466"/>
    <w:rsid w:val="0076105C"/>
    <w:rsid w:val="00770602"/>
    <w:rsid w:val="00777C4E"/>
    <w:rsid w:val="00782A8D"/>
    <w:rsid w:val="007D319A"/>
    <w:rsid w:val="007E1BAB"/>
    <w:rsid w:val="007E3A93"/>
    <w:rsid w:val="00841459"/>
    <w:rsid w:val="00851A0E"/>
    <w:rsid w:val="008616EE"/>
    <w:rsid w:val="00872C5E"/>
    <w:rsid w:val="008841FA"/>
    <w:rsid w:val="008A63D6"/>
    <w:rsid w:val="008D3626"/>
    <w:rsid w:val="008D4EE7"/>
    <w:rsid w:val="00911FFB"/>
    <w:rsid w:val="00913CE9"/>
    <w:rsid w:val="009201B6"/>
    <w:rsid w:val="009305D6"/>
    <w:rsid w:val="00940F43"/>
    <w:rsid w:val="00953B5F"/>
    <w:rsid w:val="00955C08"/>
    <w:rsid w:val="0095765D"/>
    <w:rsid w:val="009635F2"/>
    <w:rsid w:val="009D6B4D"/>
    <w:rsid w:val="00A054D1"/>
    <w:rsid w:val="00A74224"/>
    <w:rsid w:val="00A7711F"/>
    <w:rsid w:val="00A90927"/>
    <w:rsid w:val="00A94527"/>
    <w:rsid w:val="00AF2A73"/>
    <w:rsid w:val="00B35E76"/>
    <w:rsid w:val="00B7455E"/>
    <w:rsid w:val="00B8670F"/>
    <w:rsid w:val="00B9423E"/>
    <w:rsid w:val="00BB59F9"/>
    <w:rsid w:val="00C47892"/>
    <w:rsid w:val="00C5769C"/>
    <w:rsid w:val="00C723A9"/>
    <w:rsid w:val="00CA1860"/>
    <w:rsid w:val="00CB17CD"/>
    <w:rsid w:val="00CD0DD4"/>
    <w:rsid w:val="00D0315D"/>
    <w:rsid w:val="00D16AC0"/>
    <w:rsid w:val="00D33683"/>
    <w:rsid w:val="00D703EC"/>
    <w:rsid w:val="00D738C2"/>
    <w:rsid w:val="00D77038"/>
    <w:rsid w:val="00DD1781"/>
    <w:rsid w:val="00DD2C8A"/>
    <w:rsid w:val="00DD73AD"/>
    <w:rsid w:val="00DE0800"/>
    <w:rsid w:val="00DE3D29"/>
    <w:rsid w:val="00DE6197"/>
    <w:rsid w:val="00E02E08"/>
    <w:rsid w:val="00E02FAC"/>
    <w:rsid w:val="00E04674"/>
    <w:rsid w:val="00E23BC4"/>
    <w:rsid w:val="00E24465"/>
    <w:rsid w:val="00E40614"/>
    <w:rsid w:val="00E44959"/>
    <w:rsid w:val="00E667C2"/>
    <w:rsid w:val="00E72C06"/>
    <w:rsid w:val="00E74F2A"/>
    <w:rsid w:val="00E864BE"/>
    <w:rsid w:val="00EA0F72"/>
    <w:rsid w:val="00ED5657"/>
    <w:rsid w:val="00EF6E59"/>
    <w:rsid w:val="00F07B2B"/>
    <w:rsid w:val="00F441E4"/>
    <w:rsid w:val="00F47836"/>
    <w:rsid w:val="00F60C86"/>
    <w:rsid w:val="00F83C6F"/>
    <w:rsid w:val="00FC524D"/>
    <w:rsid w:val="00FF7320"/>
    <w:rsid w:val="03062D16"/>
    <w:rsid w:val="1435145B"/>
    <w:rsid w:val="14667072"/>
    <w:rsid w:val="152E33FE"/>
    <w:rsid w:val="16C405B2"/>
    <w:rsid w:val="17BE20BF"/>
    <w:rsid w:val="19767B04"/>
    <w:rsid w:val="60AF437C"/>
    <w:rsid w:val="6FCE6F6A"/>
    <w:rsid w:val="749A2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link w:val="18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5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unhideWhenUsed/>
    <w:qFormat/>
    <w:uiPriority w:val="99"/>
    <w:rPr>
      <w:rFonts w:ascii="宋体" w:hAnsi="宋体" w:eastAsia="宋体" w:cs="宋体"/>
      <w:sz w:val="24"/>
      <w:szCs w:val="24"/>
    </w:rPr>
  </w:style>
  <w:style w:type="paragraph" w:customStyle="1" w:styleId="13">
    <w:name w:val="列出段落"/>
    <w:basedOn w:val="1"/>
    <w:qFormat/>
    <w:uiPriority w:val="34"/>
    <w:pPr>
      <w:ind w:firstLine="420" w:firstLineChars="200"/>
    </w:pPr>
  </w:style>
  <w:style w:type="character" w:customStyle="1" w:styleId="14">
    <w:name w:val="页眉 字符"/>
    <w:link w:val="7"/>
    <w:qFormat/>
    <w:uiPriority w:val="0"/>
    <w:rPr>
      <w:kern w:val="2"/>
      <w:sz w:val="18"/>
      <w:szCs w:val="18"/>
    </w:rPr>
  </w:style>
  <w:style w:type="character" w:customStyle="1" w:styleId="15">
    <w:name w:val="页脚 字符"/>
    <w:link w:val="6"/>
    <w:qFormat/>
    <w:uiPriority w:val="0"/>
    <w:rPr>
      <w:kern w:val="2"/>
      <w:sz w:val="18"/>
      <w:szCs w:val="18"/>
    </w:rPr>
  </w:style>
  <w:style w:type="character" w:styleId="16">
    <w:name w:val="Placeholder Text"/>
    <w:basedOn w:val="10"/>
    <w:semiHidden/>
    <w:qFormat/>
    <w:uiPriority w:val="99"/>
    <w:rPr>
      <w:color w:val="666666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character" w:customStyle="1" w:styleId="18">
    <w:name w:val="标题 4 Char"/>
    <w:link w:val="5"/>
    <w:qFormat/>
    <w:uiPriority w:val="0"/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JNU</Company>
  <Pages>6</Pages>
  <Words>1228</Words>
  <Characters>1549</Characters>
  <Lines>90</Lines>
  <Paragraphs>89</Paragraphs>
  <TotalTime>6</TotalTime>
  <ScaleCrop>false</ScaleCrop>
  <LinksUpToDate>false</LinksUpToDate>
  <CharactersWithSpaces>1899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2026-03-10T09:40:00Z</dcterms:created>
  <dc:creator>刘欣</dc:creator>
  <cp:lastModifiedBy>随便</cp:lastModifiedBy>
  <dcterms:modified xsi:type="dcterms:W3CDTF">2026-05-27T04:10:46Z</dcterms:modified>
  <dc:title>暨南大学本科实验报告专用纸</dc:title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eyJoZGlkIjoiOTA0MjJiNThjNWM2OTE2MmFkMzBlOWJiNTViNzUyMzciLCJ1c2VySWQiOiI4NDE3NTQ5NDkifQ==</vt:lpwstr>
  </property>
  <property fmtid="{D5CDD505-2E9C-101B-9397-08002B2CF9AE}" pid="3" name="KSOProductBuildVer">
    <vt:lpwstr>2052-12.1.0.26375</vt:lpwstr>
  </property>
  <property fmtid="{D5CDD505-2E9C-101B-9397-08002B2CF9AE}" pid="4" name="ICV">
    <vt:lpwstr>F0EF8F57E83141CBA64FD32455A1445D_13</vt:lpwstr>
  </property>
</Properties>
</file>