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pBdr>
        <w:spacing w:after="60"/>
      </w:pPr>
      <w:r>
        <w:rPr>
          <w:rFonts w:ascii="Calibri" w:cs="Calibri" w:eastAsia="Calibri" w:hAnsi="Calibri"/>
          <w:b/>
          <w:bCs/>
          <w:color w:val="1F4E79"/>
          <w:sz w:val="38"/>
          <w:szCs w:val="38"/>
        </w:rPr>
        <w:t xml:space="preserve">Nowcasting del PBI de Argentina</w:t>
      </w:r>
    </w:p>
    <w:p>
      <w:pPr>
        <w:spacing w:after="100"/>
      </w:pPr>
      <w:r>
        <w:rPr>
          <w:rFonts w:ascii="Calibri" w:cs="Calibri" w:eastAsia="Calibri" w:hAnsi="Calibri"/>
          <w:color w:val="2E75B6"/>
          <w:sz w:val="28"/>
          <w:szCs w:val="28"/>
        </w:rPr>
        <w:t xml:space="preserve">Modelo de factores dinámicos de frecuencia mixta (DFM-MQ)</w:t>
      </w:r>
    </w:p>
    <w:p>
      <w:pPr>
        <w:spacing w:after="300"/>
      </w:pPr>
      <w:r>
        <w:rPr>
          <w:rFonts w:ascii="Calibri" w:cs="Calibri" w:eastAsia="Calibri" w:hAnsi="Calibri"/>
          <w:i/>
          <w:iCs/>
          <w:color w:val="555555"/>
          <w:sz w:val="22"/>
          <w:szCs w:val="22"/>
        </w:rPr>
        <w:t xml:space="preserve">Marco teórico, procedimiento de implementación, metodología de validación y resultados — documento de defensa en comité</w:t>
      </w:r>
    </w:p>
    <w:p>
      <w:pPr>
        <w:pStyle w:val="Heading1"/>
        <w:spacing w:after="130" w:before="300"/>
      </w:pPr>
      <w:r>
        <w:rPr>
          <w:rFonts w:ascii="Calibri" w:cs="Calibri" w:eastAsia="Calibri" w:hAnsi="Calibri"/>
          <w:b/>
          <w:bCs/>
          <w:color w:val="1F4E79"/>
          <w:sz w:val="28"/>
          <w:szCs w:val="28"/>
        </w:rPr>
        <w:t xml:space="preserve">Resumen ejecutivo</w:t>
      </w:r>
    </w:p>
    <w:p>
      <w:pPr>
        <w:spacing w:after="120" w:line="280"/>
        <w:jc w:val="both"/>
      </w:pPr>
      <w:r>
        <w:rPr>
          <w:rFonts w:ascii="Calibri" w:cs="Calibri" w:eastAsia="Calibri" w:hAnsi="Calibri"/>
          <w:sz w:val="21"/>
          <w:szCs w:val="21"/>
        </w:rPr>
        <w:t xml:space="preserve">Se desarrolló un modelo de nowcasting del crecimiento trimestral del PBI real desestacionalizado de Argentina, con dos generaciones sucesivas: un modelo de factores estático estimado a frecuencia trimestral (réplica del trabajo del BCRA) y un </w:t>
      </w:r>
      <w:r>
        <w:rPr>
          <w:rFonts w:ascii="Calibri" w:cs="Calibri" w:eastAsia="Calibri" w:hAnsi="Calibri"/>
          <w:b/>
          <w:bCs/>
          <w:sz w:val="21"/>
          <w:szCs w:val="21"/>
        </w:rPr>
        <w:t xml:space="preserve">modelo de factores dinámicos de frecuencia mixta en espacio de estados con filtro de Kalman (DFM-MQ)</w:t>
      </w:r>
      <w:r>
        <w:rPr>
          <w:rFonts w:ascii="Calibri" w:cs="Calibri" w:eastAsia="Calibri" w:hAnsi="Calibri"/>
          <w:sz w:val="21"/>
          <w:szCs w:val="21"/>
        </w:rPr>
        <w:t xml:space="preserve">, que es el modelo recomendado.</w:t>
      </w:r>
    </w:p>
    <w:p>
      <w:pPr>
        <w:spacing w:after="120" w:line="280"/>
        <w:jc w:val="both"/>
      </w:pPr>
      <w:r>
        <w:rPr>
          <w:rFonts w:ascii="Calibri" w:cs="Calibri" w:eastAsia="Calibri" w:hAnsi="Calibri"/>
          <w:sz w:val="21"/>
          <w:szCs w:val="21"/>
        </w:rPr>
        <w:t xml:space="preserve">El DFM-MQ reduce el error de magnitud un </w:t>
      </w:r>
      <w:r>
        <w:rPr>
          <w:rFonts w:ascii="Calibri" w:cs="Calibri" w:eastAsia="Calibri" w:hAnsi="Calibri"/>
          <w:b/>
          <w:bCs/>
          <w:sz w:val="21"/>
          <w:szCs w:val="21"/>
        </w:rPr>
        <w:t xml:space="preserve">23%</w:t>
      </w:r>
      <w:r>
        <w:rPr>
          <w:rFonts w:ascii="Calibri" w:cs="Calibri" w:eastAsia="Calibri" w:hAnsi="Calibri"/>
          <w:sz w:val="21"/>
          <w:szCs w:val="21"/>
        </w:rPr>
        <w:t xml:space="preserve"> respecto del modelo de factores trimestral (RMSE 0.0126 vs 0.0162) y eleva el acierto direccional a </w:t>
      </w:r>
      <w:r>
        <w:rPr>
          <w:rFonts w:ascii="Calibri" w:cs="Calibri" w:eastAsia="Calibri" w:hAnsi="Calibri"/>
          <w:b/>
          <w:bCs/>
          <w:sz w:val="21"/>
          <w:szCs w:val="21"/>
        </w:rPr>
        <w:t xml:space="preserve">75.6%</w:t>
      </w:r>
      <w:r>
        <w:rPr>
          <w:rFonts w:ascii="Calibri" w:cs="Calibri" w:eastAsia="Calibri" w:hAnsi="Calibri"/>
          <w:sz w:val="21"/>
          <w:szCs w:val="21"/>
        </w:rPr>
        <w:t xml:space="preserve">. Es </w:t>
      </w:r>
      <w:r>
        <w:rPr>
          <w:rFonts w:ascii="Calibri" w:cs="Calibri" w:eastAsia="Calibri" w:hAnsi="Calibri"/>
          <w:b/>
          <w:bCs/>
          <w:sz w:val="21"/>
          <w:szCs w:val="21"/>
        </w:rPr>
        <w:t xml:space="preserve">el único modelo evaluado que supera al benchmark AR(1) en magnitud con significancia estadística en régimen normal</w:t>
      </w:r>
      <w:r>
        <w:rPr>
          <w:rFonts w:ascii="Calibri" w:cs="Calibri" w:eastAsia="Calibri" w:hAnsi="Calibri"/>
          <w:sz w:val="21"/>
          <w:szCs w:val="21"/>
        </w:rPr>
        <w:t xml:space="preserve"> (Giacomini-White t=2.43, p=0.015; versión condicional p=0.004), manteniendo simultáneamente capacidad direccional significativa (Pesaran-Timmermann p=0.0006).</w:t>
      </w:r>
    </w:p>
    <w:p>
      <w:pPr>
        <w:spacing w:after="120" w:line="280"/>
        <w:jc w:val="both"/>
      </w:pPr>
      <w:r>
        <w:rPr>
          <w:rFonts w:ascii="Calibri" w:cs="Calibri" w:eastAsia="Calibri" w:hAnsi="Calibri"/>
          <w:sz w:val="21"/>
          <w:szCs w:val="21"/>
        </w:rPr>
        <w:t xml:space="preserve">Recomendación: adoptar el DFM-MQ como insumo de monitoreo del ciclo, con salida dual —nivel del q/q y probabilidad de expansión—, sujeto a la validación de valor económico descrita en la sección de limitaciones.</w:t>
      </w:r>
    </w:p>
    <w:p>
      <w:r>
        <w:br w:type="page"/>
      </w:r>
    </w:p>
    <w:p>
      <w:pPr>
        <w:pStyle w:val="Heading1"/>
        <w:spacing w:after="130" w:before="300"/>
      </w:pPr>
      <w:r>
        <w:rPr>
          <w:rFonts w:ascii="Calibri" w:cs="Calibri" w:eastAsia="Calibri" w:hAnsi="Calibri"/>
          <w:b/>
          <w:bCs/>
          <w:color w:val="1F4E79"/>
          <w:sz w:val="28"/>
          <w:szCs w:val="28"/>
        </w:rPr>
        <w:t xml:space="preserve">Parte I — Marco teórico</w:t>
      </w:r>
    </w:p>
    <w:p>
      <w:pPr>
        <w:pStyle w:val="Heading2"/>
        <w:spacing w:after="80" w:before="200"/>
      </w:pPr>
      <w:r>
        <w:rPr>
          <w:rFonts w:ascii="Calibri" w:cs="Calibri" w:eastAsia="Calibri" w:hAnsi="Calibri"/>
          <w:b/>
          <w:bCs/>
          <w:color w:val="2E75B6"/>
          <w:sz w:val="23"/>
          <w:szCs w:val="23"/>
        </w:rPr>
        <w:t xml:space="preserve">1. El problema</w:t>
      </w:r>
    </w:p>
    <w:p>
      <w:pPr>
        <w:spacing w:after="120" w:line="280"/>
        <w:jc w:val="both"/>
      </w:pPr>
      <w:r>
        <w:rPr>
          <w:rFonts w:ascii="Calibri" w:cs="Calibri" w:eastAsia="Calibri" w:hAnsi="Calibri"/>
          <w:sz w:val="21"/>
          <w:szCs w:val="21"/>
        </w:rPr>
        <w:t xml:space="preserve">El PBI se publica trimestralmente y con un rezago aproximado de diez semanas. En paralelo existen decenas de indicadores mensuales del ciclo. El nowcasting busca explotar esa información de mayor frecuencia para estimar el trimestre en curso antes de la publicación oficial. Dos obstáculos definen el diseño del modelo:</w:t>
      </w:r>
    </w:p>
    <w:p>
      <w:pPr>
        <w:pStyle w:val="ListParagraph"/>
        <w:numPr>
          <w:ilvl w:val="0"/>
          <w:numId w:val="1"/>
        </w:numPr>
        <w:spacing w:after="80" w:line="272"/>
      </w:pPr>
      <w:r>
        <w:rPr>
          <w:rFonts w:ascii="Calibri" w:cs="Calibri" w:eastAsia="Calibri" w:hAnsi="Calibri"/>
          <w:b/>
          <w:bCs/>
          <w:sz w:val="21"/>
          <w:szCs w:val="21"/>
        </w:rPr>
        <w:t xml:space="preserve">Frecuencia mixta: </w:t>
      </w:r>
      <w:r>
        <w:rPr>
          <w:rFonts w:ascii="Calibri" w:cs="Calibri" w:eastAsia="Calibri" w:hAnsi="Calibri"/>
          <w:sz w:val="21"/>
          <w:szCs w:val="21"/>
        </w:rPr>
        <w:t xml:space="preserve">el objetivo es trimestral y los predictores son mensuales.</w:t>
      </w:r>
    </w:p>
    <w:p>
      <w:pPr>
        <w:pStyle w:val="ListParagraph"/>
        <w:numPr>
          <w:ilvl w:val="0"/>
          <w:numId w:val="1"/>
        </w:numPr>
        <w:spacing w:after="80" w:line="272"/>
      </w:pPr>
      <w:r>
        <w:rPr>
          <w:rFonts w:ascii="Calibri" w:cs="Calibri" w:eastAsia="Calibri" w:hAnsi="Calibri"/>
          <w:b/>
          <w:bCs/>
          <w:sz w:val="21"/>
          <w:szCs w:val="21"/>
        </w:rPr>
        <w:t xml:space="preserve">Borde dentado (ragged edge): </w:t>
      </w:r>
      <w:r>
        <w:rPr>
          <w:rFonts w:ascii="Calibri" w:cs="Calibri" w:eastAsia="Calibri" w:hAnsi="Calibri"/>
          <w:sz w:val="21"/>
          <w:szCs w:val="21"/>
        </w:rPr>
        <w:t xml:space="preserve">cada serie se publica en un momento distinto, de modo que al final de la muestra el panel está incompleto de forma asimétrica.</w:t>
      </w:r>
    </w:p>
    <w:p>
      <w:pPr>
        <w:pStyle w:val="Heading2"/>
        <w:spacing w:after="80" w:before="200"/>
      </w:pPr>
      <w:r>
        <w:rPr>
          <w:rFonts w:ascii="Calibri" w:cs="Calibri" w:eastAsia="Calibri" w:hAnsi="Calibri"/>
          <w:b/>
          <w:bCs/>
          <w:color w:val="2E75B6"/>
          <w:sz w:val="23"/>
          <w:szCs w:val="23"/>
        </w:rPr>
        <w:t xml:space="preserve">2. El modelo de factores (DFM)</w:t>
      </w:r>
    </w:p>
    <w:p>
      <w:pPr>
        <w:spacing w:after="120" w:line="280"/>
        <w:jc w:val="both"/>
      </w:pPr>
      <w:r>
        <w:rPr>
          <w:rFonts w:ascii="Calibri" w:cs="Calibri" w:eastAsia="Calibri" w:hAnsi="Calibri"/>
          <w:sz w:val="21"/>
          <w:szCs w:val="21"/>
        </w:rPr>
        <w:t xml:space="preserve">La hipótesis central es que la covarianza entre un número grande </w:t>
      </w:r>
      <w:r>
        <w:rPr>
          <w:rFonts w:ascii="Cambria" w:cs="Cambria" w:eastAsia="Cambria" w:hAnsi="Cambria"/>
          <w:i/>
          <w:iCs/>
          <w:sz w:val="22"/>
          <w:szCs w:val="22"/>
        </w:rPr>
        <w:t xml:space="preserve">n</w:t>
      </w:r>
      <w:r>
        <w:rPr>
          <w:rFonts w:ascii="Calibri" w:cs="Calibri" w:eastAsia="Calibri" w:hAnsi="Calibri"/>
          <w:sz w:val="21"/>
          <w:szCs w:val="21"/>
        </w:rPr>
        <w:t xml:space="preserve"> de series puede resumirse en un número reducido </w:t>
      </w:r>
      <w:r>
        <w:rPr>
          <w:rFonts w:ascii="Cambria" w:cs="Cambria" w:eastAsia="Cambria" w:hAnsi="Cambria"/>
          <w:i/>
          <w:iCs/>
          <w:sz w:val="22"/>
          <w:szCs w:val="22"/>
        </w:rPr>
        <w:t xml:space="preserve">q</w:t>
      </w:r>
      <w:r>
        <w:rPr>
          <w:rFonts w:ascii="Calibri" w:cs="Calibri" w:eastAsia="Calibri" w:hAnsi="Calibri"/>
          <w:sz w:val="21"/>
          <w:szCs w:val="21"/>
        </w:rPr>
        <w:t xml:space="preserve"> de factores comunes latentes, con </w:t>
      </w:r>
      <w:r>
        <w:rPr>
          <w:rFonts w:ascii="Cambria" w:cs="Cambria" w:eastAsia="Cambria" w:hAnsi="Cambria"/>
          <w:i/>
          <w:iCs/>
          <w:sz w:val="22"/>
          <w:szCs w:val="22"/>
        </w:rPr>
        <w:t xml:space="preserve">n</w:t>
      </w:r>
      <w:r>
        <w:rPr>
          <w:rFonts w:ascii="Calibri" w:cs="Calibri" w:eastAsia="Calibri" w:hAnsi="Calibri"/>
          <w:sz w:val="21"/>
          <w:szCs w:val="21"/>
        </w:rPr>
        <w:t xml:space="preserve"> ≫ </w:t>
      </w:r>
      <w:r>
        <w:rPr>
          <w:rFonts w:ascii="Cambria" w:cs="Cambria" w:eastAsia="Cambria" w:hAnsi="Cambria"/>
          <w:i/>
          <w:iCs/>
          <w:sz w:val="22"/>
          <w:szCs w:val="22"/>
        </w:rPr>
        <w:t xml:space="preserve">q</w:t>
      </w:r>
      <w:r>
        <w:rPr>
          <w:rFonts w:ascii="Calibri" w:cs="Calibri" w:eastAsia="Calibri" w:hAnsi="Calibri"/>
          <w:sz w:val="21"/>
          <w:szCs w:val="21"/>
        </w:rPr>
        <w:t xml:space="preserve">. Cada serie se descompone en una parte común —impulsada por el ciclo agregado— y una idiosincrásica:</w:t>
      </w:r>
    </w:p>
    <w:p>
      <w:pPr>
        <w:shd w:fill="F2F2F2" w:val="clear"/>
        <w:spacing w:after="130" w:before="60"/>
        <w:jc w:val="center"/>
      </w:pP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it</w:t>
      </w:r>
      <w:r>
        <w:rPr>
          <w:rFonts w:ascii="Cambria" w:cs="Cambria" w:eastAsia="Cambria" w:hAnsi="Cambria"/>
          <w:sz w:val="22"/>
          <w:szCs w:val="22"/>
        </w:rPr>
        <w:t xml:space="preserve"> = </w:t>
      </w:r>
      <w:r>
        <w:rPr>
          <w:rFonts w:ascii="Cambria" w:cs="Cambria" w:eastAsia="Cambria" w:hAnsi="Cambria"/>
          <w:i/>
          <w:iCs/>
          <w:sz w:val="22"/>
          <w:szCs w:val="22"/>
        </w:rPr>
        <w:t xml:space="preserve">λ</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w:t>
      </w:r>
      <w:r>
        <w:rPr>
          <w:rFonts w:ascii="Cambria" w:cs="Cambria" w:eastAsia="Cambria" w:hAnsi="Cambria"/>
          <w:i/>
          <w:iCs/>
          <w:sz w:val="22"/>
          <w:szCs w:val="22"/>
        </w:rPr>
        <w:t xml:space="preserve">L</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it</w:t>
      </w:r>
      <w:r>
        <w:rPr>
          <w:rFonts w:ascii="Cambria" w:cs="Cambria" w:eastAsia="Cambria" w:hAnsi="Cambria"/>
          <w:color w:val="888888"/>
          <w:sz w:val="20"/>
          <w:szCs w:val="20"/>
        </w:rPr>
        <w:t xml:space="preserve">        (1)</w:t>
      </w:r>
    </w:p>
    <w:p>
      <w:pPr>
        <w:spacing w:after="120" w:line="280"/>
        <w:jc w:val="both"/>
      </w:pPr>
      <w:r>
        <w:rPr>
          <w:rFonts w:ascii="Calibri" w:cs="Calibri" w:eastAsia="Calibri" w:hAnsi="Calibri"/>
          <w:sz w:val="21"/>
          <w:szCs w:val="21"/>
        </w:rPr>
        <w:t xml:space="preserve">donde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w:t>
      </w:r>
      <w:r>
        <w:rPr>
          <w:rFonts w:ascii="Calibri" w:cs="Calibri" w:eastAsia="Calibri" w:hAnsi="Calibri"/>
          <w:sz w:val="21"/>
          <w:szCs w:val="21"/>
        </w:rPr>
        <w:t xml:space="preserve"> es el vector de factores, </w:t>
      </w:r>
      <w:r>
        <w:rPr>
          <w:rFonts w:ascii="Cambria" w:cs="Cambria" w:eastAsia="Cambria" w:hAnsi="Cambria"/>
          <w:i/>
          <w:iCs/>
          <w:sz w:val="22"/>
          <w:szCs w:val="22"/>
        </w:rPr>
        <w:t xml:space="preserve">λ</w:t>
      </w:r>
      <w:r>
        <w:rPr>
          <w:rFonts w:ascii="Cambria" w:cs="Cambria" w:eastAsia="Cambria" w:hAnsi="Cambria"/>
          <w:i/>
          <w:iCs/>
          <w:sz w:val="22"/>
          <w:szCs w:val="22"/>
          <w:vertAlign w:val="subscript"/>
        </w:rPr>
        <w:t xml:space="preserve">i</w:t>
      </w:r>
      <w:r>
        <w:rPr>
          <w:rFonts w:ascii="Calibri" w:cs="Calibri" w:eastAsia="Calibri" w:hAnsi="Calibri"/>
          <w:sz w:val="21"/>
          <w:szCs w:val="21"/>
        </w:rPr>
        <w:t xml:space="preserve">(</w:t>
      </w:r>
      <w:r>
        <w:rPr>
          <w:rFonts w:ascii="Cambria" w:cs="Cambria" w:eastAsia="Cambria" w:hAnsi="Cambria"/>
          <w:i/>
          <w:iCs/>
          <w:sz w:val="22"/>
          <w:szCs w:val="22"/>
        </w:rPr>
        <w:t xml:space="preserve">L</w:t>
      </w:r>
      <w:r>
        <w:rPr>
          <w:rFonts w:ascii="Calibri" w:cs="Calibri" w:eastAsia="Calibri" w:hAnsi="Calibri"/>
          <w:sz w:val="21"/>
          <w:szCs w:val="21"/>
        </w:rPr>
        <w:t xml:space="preserve">) las cargas factoriales dinámicas y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it</w:t>
      </w:r>
      <w:r>
        <w:rPr>
          <w:rFonts w:ascii="Calibri" w:cs="Calibri" w:eastAsia="Calibri" w:hAnsi="Calibri"/>
          <w:sz w:val="21"/>
          <w:szCs w:val="21"/>
        </w:rPr>
        <w:t xml:space="preserve"> la perturbación idiosincrásica. En la versión </w:t>
      </w:r>
      <w:r>
        <w:rPr>
          <w:rFonts w:ascii="Calibri" w:cs="Calibri" w:eastAsia="Calibri" w:hAnsi="Calibri"/>
          <w:i/>
          <w:iCs/>
          <w:sz w:val="21"/>
          <w:szCs w:val="21"/>
        </w:rPr>
        <w:t xml:space="preserve">aproximada</w:t>
      </w:r>
      <w:r>
        <w:rPr>
          <w:rFonts w:ascii="Calibri" w:cs="Calibri" w:eastAsia="Calibri" w:hAnsi="Calibri"/>
          <w:sz w:val="21"/>
          <w:szCs w:val="21"/>
        </w:rPr>
        <w:t xml:space="preserve"> (Chamberlain y Rothschild, 1983; Bai y Ng, 2002) se admite correlación débil en el componente idiosincrásico, lo que la hace realista para paneles macroeconómicos. El PBI se proyecta sobre esos factores, con un término autorregresivo que recoge la persistencia del ciclo:</w:t>
      </w:r>
    </w:p>
    <w:p>
      <w:pPr>
        <w:shd w:fill="F2F2F2" w:val="clear"/>
        <w:spacing w:after="130" w:before="60"/>
        <w:jc w:val="center"/>
      </w:pP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β</w:t>
      </w:r>
      <w:r>
        <w:rPr>
          <w:rFonts w:ascii="Cambria" w:cs="Cambria" w:eastAsia="Cambria" w:hAnsi="Cambria"/>
          <w:sz w:val="22"/>
          <w:szCs w:val="22"/>
        </w:rPr>
        <w:t xml:space="preserve">(</w:t>
      </w:r>
      <w:r>
        <w:rPr>
          <w:rFonts w:ascii="Cambria" w:cs="Cambria" w:eastAsia="Cambria" w:hAnsi="Cambria"/>
          <w:i/>
          <w:iCs/>
          <w:sz w:val="22"/>
          <w:szCs w:val="22"/>
        </w:rPr>
        <w:t xml:space="preserve">L</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γ</w:t>
      </w:r>
      <w:r>
        <w:rPr>
          <w:rFonts w:ascii="Cambria" w:cs="Cambria" w:eastAsia="Cambria" w:hAnsi="Cambria"/>
          <w:sz w:val="22"/>
          <w:szCs w:val="22"/>
        </w:rPr>
        <w:t xml:space="preserve">(</w:t>
      </w:r>
      <w:r>
        <w:rPr>
          <w:rFonts w:ascii="Cambria" w:cs="Cambria" w:eastAsia="Cambria" w:hAnsi="Cambria"/>
          <w:i/>
          <w:iCs/>
          <w:sz w:val="22"/>
          <w:szCs w:val="22"/>
        </w:rPr>
        <w:t xml:space="preserve">L</w:t>
      </w:r>
      <w:r>
        <w:rPr>
          <w:rFonts w:ascii="Cambria" w:cs="Cambria" w:eastAsia="Cambria" w:hAnsi="Cambria"/>
          <w:sz w:val="22"/>
          <w:szCs w:val="22"/>
        </w:rPr>
        <w:t xml:space="preserve">) </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t−1</w:t>
      </w:r>
      <w:r>
        <w:rPr>
          <w:rFonts w:ascii="Cambria" w:cs="Cambria" w:eastAsia="Cambria" w:hAnsi="Cambria"/>
          <w:sz w:val="22"/>
          <w:szCs w:val="22"/>
        </w:rPr>
        <w:t xml:space="preserve"> + </w:t>
      </w:r>
      <w:r>
        <w:rPr>
          <w:rFonts w:ascii="Cambria" w:cs="Cambria" w:eastAsia="Cambria" w:hAnsi="Cambria"/>
          <w:i/>
          <w:iCs/>
          <w:sz w:val="22"/>
          <w:szCs w:val="22"/>
        </w:rPr>
        <w:t xml:space="preserve">ε</w:t>
      </w:r>
      <w:r>
        <w:rPr>
          <w:rFonts w:ascii="Cambria" w:cs="Cambria" w:eastAsia="Cambria" w:hAnsi="Cambria"/>
          <w:i/>
          <w:iCs/>
          <w:sz w:val="22"/>
          <w:szCs w:val="22"/>
          <w:vertAlign w:val="subscript"/>
        </w:rPr>
        <w:t xml:space="preserve">t</w:t>
      </w:r>
      <w:r>
        <w:rPr>
          <w:rFonts w:ascii="Cambria" w:cs="Cambria" w:eastAsia="Cambria" w:hAnsi="Cambria"/>
          <w:color w:val="888888"/>
          <w:sz w:val="20"/>
          <w:szCs w:val="20"/>
        </w:rPr>
        <w:t xml:space="preserve">        (2)</w:t>
      </w:r>
    </w:p>
    <w:p>
      <w:pPr>
        <w:pStyle w:val="Heading2"/>
        <w:spacing w:after="80" w:before="200"/>
      </w:pPr>
      <w:r>
        <w:rPr>
          <w:rFonts w:ascii="Calibri" w:cs="Calibri" w:eastAsia="Calibri" w:hAnsi="Calibri"/>
          <w:b/>
          <w:bCs/>
          <w:color w:val="2E75B6"/>
          <w:sz w:val="23"/>
          <w:szCs w:val="23"/>
        </w:rPr>
        <w:t xml:space="preserve">3. Estimación de los factores por componentes principales</w:t>
      </w:r>
    </w:p>
    <w:p>
      <w:pPr>
        <w:spacing w:after="120" w:line="280"/>
        <w:jc w:val="both"/>
      </w:pPr>
      <w:r>
        <w:rPr>
          <w:rFonts w:ascii="Calibri" w:cs="Calibri" w:eastAsia="Calibri" w:hAnsi="Calibri"/>
          <w:sz w:val="21"/>
          <w:szCs w:val="21"/>
        </w:rPr>
        <w:t xml:space="preserve">Stock y Watson (2002) muestran que, si los polinomios de rezagos son de orden finito, los factores se estiman consistentemente mediante los primeros componentes principales del panel estandarizado, cuando </w:t>
      </w:r>
      <w:r>
        <w:rPr>
          <w:rFonts w:ascii="Cambria" w:cs="Cambria" w:eastAsia="Cambria" w:hAnsi="Cambria"/>
          <w:i/>
          <w:iCs/>
          <w:sz w:val="22"/>
          <w:szCs w:val="22"/>
        </w:rPr>
        <w:t xml:space="preserve">n</w:t>
      </w:r>
      <w:r>
        <w:rPr>
          <w:rFonts w:ascii="Calibri" w:cs="Calibri" w:eastAsia="Calibri" w:hAnsi="Calibri"/>
          <w:sz w:val="21"/>
          <w:szCs w:val="21"/>
        </w:rPr>
        <w:t xml:space="preserve"> y </w:t>
      </w:r>
      <w:r>
        <w:rPr>
          <w:rFonts w:ascii="Cambria" w:cs="Cambria" w:eastAsia="Cambria" w:hAnsi="Cambria"/>
          <w:i/>
          <w:iCs/>
          <w:sz w:val="22"/>
          <w:szCs w:val="22"/>
        </w:rPr>
        <w:t xml:space="preserve">T</w:t>
      </w:r>
      <w:r>
        <w:rPr>
          <w:rFonts w:ascii="Calibri" w:cs="Calibri" w:eastAsia="Calibri" w:hAnsi="Calibri"/>
          <w:sz w:val="21"/>
          <w:szCs w:val="21"/>
        </w:rPr>
        <w:t xml:space="preserve"> tienden a infinito. La estandarización es imprescindible para que las series de mayor varianza no dominen mecánicamente la extracción. El número de factores puede fijarse por scree plot (Cattell) o, con mayor rigor, por los criterios de información de Bai y Ng (2002).</w:t>
      </w:r>
    </w:p>
    <w:p>
      <w:pPr>
        <w:pStyle w:val="Heading2"/>
        <w:spacing w:after="80" w:before="200"/>
      </w:pPr>
      <w:r>
        <w:rPr>
          <w:rFonts w:ascii="Calibri" w:cs="Calibri" w:eastAsia="Calibri" w:hAnsi="Calibri"/>
          <w:b/>
          <w:bCs/>
          <w:color w:val="2E75B6"/>
          <w:sz w:val="23"/>
          <w:szCs w:val="23"/>
        </w:rPr>
        <w:t xml:space="preserve">4. Del modelo estático al DFM-MQ: la representación en espacio de estados</w:t>
      </w:r>
    </w:p>
    <w:p>
      <w:pPr>
        <w:spacing w:after="120" w:line="280"/>
        <w:jc w:val="both"/>
      </w:pPr>
      <w:r>
        <w:rPr>
          <w:rFonts w:ascii="Calibri" w:cs="Calibri" w:eastAsia="Calibri" w:hAnsi="Calibri"/>
          <w:sz w:val="21"/>
          <w:szCs w:val="21"/>
        </w:rPr>
        <w:t xml:space="preserve">La primera generación del modelo resolvía la frecuencia mixta </w:t>
      </w:r>
      <w:r>
        <w:rPr>
          <w:rFonts w:ascii="Calibri" w:cs="Calibri" w:eastAsia="Calibri" w:hAnsi="Calibri"/>
          <w:i/>
          <w:iCs/>
          <w:sz w:val="21"/>
          <w:szCs w:val="21"/>
        </w:rPr>
        <w:t xml:space="preserve">agregando los indicadores mensuales a trimestral por promedio simple</w:t>
      </w:r>
      <w:r>
        <w:rPr>
          <w:rFonts w:ascii="Calibri" w:cs="Calibri" w:eastAsia="Calibri" w:hAnsi="Calibri"/>
          <w:sz w:val="21"/>
          <w:szCs w:val="21"/>
        </w:rPr>
        <w:t xml:space="preserve">. Esa solución es transparente pero destruye información: descarta el </w:t>
      </w:r>
      <w:r>
        <w:rPr>
          <w:rFonts w:ascii="Calibri" w:cs="Calibri" w:eastAsia="Calibri" w:hAnsi="Calibri"/>
          <w:i/>
          <w:iCs/>
          <w:sz w:val="21"/>
          <w:szCs w:val="21"/>
        </w:rPr>
        <w:t xml:space="preserve">timing</w:t>
      </w:r>
      <w:r>
        <w:rPr>
          <w:rFonts w:ascii="Calibri" w:cs="Calibri" w:eastAsia="Calibri" w:hAnsi="Calibri"/>
          <w:sz w:val="21"/>
          <w:szCs w:val="21"/>
        </w:rPr>
        <w:t xml:space="preserve"> intra-trimestral de las innovaciones y obliga a esperar el trimestre completo. El DFM-MQ evita esa pérdida escribiendo el modelo en espacio de estados y dejando que el filtro de Kalman opere directamente sobre los datos mensuales.</w:t>
      </w:r>
    </w:p>
    <w:p>
      <w:pPr>
        <w:spacing w:after="60" w:before="140"/>
      </w:pPr>
      <w:r>
        <w:rPr>
          <w:rFonts w:ascii="Calibri" w:cs="Calibri" w:eastAsia="Calibri" w:hAnsi="Calibri"/>
          <w:b/>
          <w:bCs/>
          <w:color w:val="333333"/>
          <w:sz w:val="21"/>
          <w:szCs w:val="21"/>
        </w:rPr>
        <w:t xml:space="preserve">Ecuación de transición (dinámica de los factores)</w:t>
      </w:r>
    </w:p>
    <w:p>
      <w:pPr>
        <w:shd w:fill="F2F2F2" w:val="clear"/>
        <w:spacing w:after="130" w:before="60"/>
        <w:jc w:val="center"/>
      </w:pP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A</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t−1</w:t>
      </w:r>
      <w:r>
        <w:rPr>
          <w:rFonts w:ascii="Cambria" w:cs="Cambria" w:eastAsia="Cambria" w:hAnsi="Cambria"/>
          <w:sz w:val="22"/>
          <w:szCs w:val="22"/>
        </w:rPr>
        <w:t xml:space="preserve"> + </w:t>
      </w:r>
      <w:r>
        <w:rPr>
          <w:rFonts w:ascii="Cambria" w:cs="Cambria" w:eastAsia="Cambria" w:hAnsi="Cambria"/>
          <w:i/>
          <w:iCs/>
          <w:sz w:val="22"/>
          <w:szCs w:val="22"/>
        </w:rPr>
        <w:t xml:space="preserve">η</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w:t>
      </w:r>
      <w:r>
        <w:rPr>
          <w:rFonts w:ascii="Cambria" w:cs="Cambria" w:eastAsia="Cambria" w:hAnsi="Cambria"/>
          <w:i/>
          <w:iCs/>
          <w:sz w:val="22"/>
          <w:szCs w:val="22"/>
        </w:rPr>
        <w:t xml:space="preserve">η</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N(0, Σ</w:t>
      </w:r>
      <w:r>
        <w:rPr>
          <w:rFonts w:ascii="Cambria" w:cs="Cambria" w:eastAsia="Cambria" w:hAnsi="Cambria"/>
          <w:i/>
          <w:iCs/>
          <w:sz w:val="22"/>
          <w:szCs w:val="22"/>
          <w:vertAlign w:val="subscript"/>
        </w:rPr>
        <w:t xml:space="preserve">η</w:t>
      </w:r>
      <w:r>
        <w:rPr>
          <w:rFonts w:ascii="Cambria" w:cs="Cambria" w:eastAsia="Cambria" w:hAnsi="Cambria"/>
          <w:sz w:val="22"/>
          <w:szCs w:val="22"/>
        </w:rPr>
        <w:t xml:space="preserve">)</w:t>
      </w:r>
      <w:r>
        <w:rPr>
          <w:rFonts w:ascii="Cambria" w:cs="Cambria" w:eastAsia="Cambria" w:hAnsi="Cambria"/>
          <w:color w:val="888888"/>
          <w:sz w:val="20"/>
          <w:szCs w:val="20"/>
        </w:rPr>
        <w:t xml:space="preserve">        (3)</w:t>
      </w:r>
    </w:p>
    <w:p>
      <w:pPr>
        <w:spacing w:after="60" w:before="140"/>
      </w:pPr>
      <w:r>
        <w:rPr>
          <w:rFonts w:ascii="Calibri" w:cs="Calibri" w:eastAsia="Calibri" w:hAnsi="Calibri"/>
          <w:b/>
          <w:bCs/>
          <w:color w:val="333333"/>
          <w:sz w:val="21"/>
          <w:szCs w:val="21"/>
        </w:rPr>
        <w:t xml:space="preserve">Ecuaciones de medición</w:t>
      </w:r>
    </w:p>
    <w:p>
      <w:pPr>
        <w:shd w:fill="F2F2F2" w:val="clear"/>
        <w:spacing w:after="130" w:before="60"/>
        <w:jc w:val="center"/>
      </w:pPr>
      <w:r>
        <w:rPr>
          <w:rFonts w:ascii="Cambria" w:cs="Cambria" w:eastAsia="Cambria" w:hAnsi="Cambria"/>
          <w:i/>
          <w:iCs/>
          <w:sz w:val="22"/>
          <w:szCs w:val="22"/>
        </w:rPr>
        <w:t xml:space="preserve">x</w:t>
      </w:r>
      <w:r>
        <w:rPr>
          <w:rFonts w:ascii="Cambria" w:cs="Cambria" w:eastAsia="Cambria" w:hAnsi="Cambria"/>
          <w:i/>
          <w:iCs/>
          <w:sz w:val="22"/>
          <w:szCs w:val="22"/>
          <w:vertAlign w:val="subscript"/>
        </w:rPr>
        <w:t xml:space="preserve">it</w:t>
      </w:r>
      <w:r>
        <w:rPr>
          <w:rFonts w:ascii="Cambria" w:cs="Cambria" w:eastAsia="Cambria" w:hAnsi="Cambria"/>
          <w:sz w:val="22"/>
          <w:szCs w:val="22"/>
        </w:rPr>
        <w:t xml:space="preserve"> = </w:t>
      </w:r>
      <w:r>
        <w:rPr>
          <w:rFonts w:ascii="Cambria" w:cs="Cambria" w:eastAsia="Cambria" w:hAnsi="Cambria"/>
          <w:i/>
          <w:iCs/>
          <w:sz w:val="22"/>
          <w:szCs w:val="22"/>
        </w:rPr>
        <w:t xml:space="preserve">λ</w:t>
      </w:r>
      <w:r>
        <w:rPr>
          <w:rFonts w:ascii="Cambria" w:cs="Cambria" w:eastAsia="Cambria" w:hAnsi="Cambria"/>
          <w:i/>
          <w:iCs/>
          <w:sz w:val="22"/>
          <w:szCs w:val="22"/>
          <w:vertAlign w:val="subscript"/>
        </w:rPr>
        <w:t xml:space="preserve">i</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e</w:t>
      </w:r>
      <w:r>
        <w:rPr>
          <w:rFonts w:ascii="Cambria" w:cs="Cambria" w:eastAsia="Cambria" w:hAnsi="Cambria"/>
          <w:i/>
          <w:iCs/>
          <w:sz w:val="22"/>
          <w:szCs w:val="22"/>
          <w:vertAlign w:val="subscript"/>
        </w:rPr>
        <w:t xml:space="preserve">it</w:t>
      </w:r>
      <w:r>
        <w:rPr>
          <w:rFonts w:ascii="Cambria" w:cs="Cambria" w:eastAsia="Cambria" w:hAnsi="Cambria"/>
          <w:sz w:val="22"/>
          <w:szCs w:val="22"/>
        </w:rPr>
        <w:t xml:space="preserve">,       </w:t>
      </w: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m</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λ</w:t>
      </w:r>
      <w:r>
        <w:rPr>
          <w:rFonts w:ascii="Cambria" w:cs="Cambria" w:eastAsia="Cambria" w:hAnsi="Cambria"/>
          <w:i/>
          <w:iCs/>
          <w:sz w:val="22"/>
          <w:szCs w:val="22"/>
          <w:vertAlign w:val="subscript"/>
        </w:rPr>
        <w:t xml:space="preserve">y</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t</w:t>
      </w:r>
      <w:r>
        <w:rPr>
          <w:rFonts w:ascii="Cambria" w:cs="Cambria" w:eastAsia="Cambria" w:hAnsi="Cambria"/>
          <w:color w:val="888888"/>
          <w:sz w:val="20"/>
          <w:szCs w:val="20"/>
        </w:rPr>
        <w:t xml:space="preserve">        (4)</w:t>
      </w:r>
    </w:p>
    <w:p>
      <w:pPr>
        <w:spacing w:after="120" w:line="280"/>
        <w:jc w:val="both"/>
      </w:pPr>
      <w:r>
        <w:rPr>
          <w:rFonts w:ascii="Calibri" w:cs="Calibri" w:eastAsia="Calibri" w:hAnsi="Calibri"/>
          <w:sz w:val="21"/>
          <w:szCs w:val="21"/>
        </w:rPr>
        <w:t xml:space="preserve">donde </w:t>
      </w: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m</w:t>
      </w:r>
      <w:r>
        <w:rPr>
          <w:rFonts w:ascii="Cambria" w:cs="Cambria" w:eastAsia="Cambria" w:hAnsi="Cambria"/>
          <w:i/>
          <w:iCs/>
          <w:sz w:val="22"/>
          <w:szCs w:val="22"/>
          <w:vertAlign w:val="subscript"/>
        </w:rPr>
        <w:t xml:space="preserve">t</w:t>
      </w:r>
      <w:r>
        <w:rPr>
          <w:rFonts w:ascii="Calibri" w:cs="Calibri" w:eastAsia="Calibri" w:hAnsi="Calibri"/>
          <w:sz w:val="21"/>
          <w:szCs w:val="21"/>
        </w:rPr>
        <w:t xml:space="preserve"> es el crecimiento </w:t>
      </w:r>
      <w:r>
        <w:rPr>
          <w:rFonts w:ascii="Calibri" w:cs="Calibri" w:eastAsia="Calibri" w:hAnsi="Calibri"/>
          <w:i/>
          <w:iCs/>
          <w:sz w:val="21"/>
          <w:szCs w:val="21"/>
        </w:rPr>
        <w:t xml:space="preserve">mensual latente</w:t>
      </w:r>
      <w:r>
        <w:rPr>
          <w:rFonts w:ascii="Calibri" w:cs="Calibri" w:eastAsia="Calibri" w:hAnsi="Calibri"/>
          <w:sz w:val="21"/>
          <w:szCs w:val="21"/>
        </w:rPr>
        <w:t xml:space="preserve"> del producto, que no se observa nunca.</w:t>
      </w:r>
    </w:p>
    <w:p>
      <w:pPr>
        <w:pStyle w:val="Heading2"/>
        <w:spacing w:after="80" w:before="200"/>
      </w:pPr>
      <w:r>
        <w:rPr>
          <w:rFonts w:ascii="Calibri" w:cs="Calibri" w:eastAsia="Calibri" w:hAnsi="Calibri"/>
          <w:b/>
          <w:bCs/>
          <w:color w:val="2E75B6"/>
          <w:sz w:val="23"/>
          <w:szCs w:val="23"/>
        </w:rPr>
        <w:t xml:space="preserve">5. La restricción de agregación de Mariano-Murasawa</w:t>
      </w:r>
    </w:p>
    <w:p>
      <w:pPr>
        <w:spacing w:after="120" w:line="280"/>
        <w:jc w:val="both"/>
      </w:pPr>
      <w:r>
        <w:rPr>
          <w:rFonts w:ascii="Calibri" w:cs="Calibri" w:eastAsia="Calibri" w:hAnsi="Calibri"/>
          <w:sz w:val="21"/>
          <w:szCs w:val="21"/>
        </w:rPr>
        <w:t xml:space="preserve">El vínculo entre lo observado (crecimiento trimestral, cada tres meses) y lo latente (crecimiento mensual) se impone mediante una restricción de agregación temporal. Como el PBI trimestral es aproximadamente el promedio geométrico de los niveles mensuales, su tasa de crecimiento se relaciona con la mensual mediante una media móvil de pesos triangulares (Mariano y Murasawa, 2003):</w:t>
      </w:r>
    </w:p>
    <w:p>
      <w:pPr>
        <w:shd w:fill="F2F2F2" w:val="clear"/>
        <w:spacing w:after="130" w:before="60"/>
        <w:jc w:val="center"/>
      </w:pP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Q</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⅓ </w:t>
      </w: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m</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⅔ </w:t>
      </w: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m</w:t>
      </w:r>
      <w:r>
        <w:rPr>
          <w:rFonts w:ascii="Cambria" w:cs="Cambria" w:eastAsia="Cambria" w:hAnsi="Cambria"/>
          <w:i/>
          <w:iCs/>
          <w:sz w:val="22"/>
          <w:szCs w:val="22"/>
          <w:vertAlign w:val="subscript"/>
        </w:rPr>
        <w:t xml:space="preserve">t−1</w:t>
      </w:r>
      <w:r>
        <w:rPr>
          <w:rFonts w:ascii="Cambria" w:cs="Cambria" w:eastAsia="Cambria" w:hAnsi="Cambria"/>
          <w:sz w:val="22"/>
          <w:szCs w:val="22"/>
        </w:rPr>
        <w:t xml:space="preserve"> + </w:t>
      </w: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m</w:t>
      </w:r>
      <w:r>
        <w:rPr>
          <w:rFonts w:ascii="Cambria" w:cs="Cambria" w:eastAsia="Cambria" w:hAnsi="Cambria"/>
          <w:i/>
          <w:iCs/>
          <w:sz w:val="22"/>
          <w:szCs w:val="22"/>
          <w:vertAlign w:val="subscript"/>
        </w:rPr>
        <w:t xml:space="preserve">t−2</w:t>
      </w:r>
      <w:r>
        <w:rPr>
          <w:rFonts w:ascii="Cambria" w:cs="Cambria" w:eastAsia="Cambria" w:hAnsi="Cambria"/>
          <w:sz w:val="22"/>
          <w:szCs w:val="22"/>
        </w:rPr>
        <w:t xml:space="preserve"> + ⅔ </w:t>
      </w: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m</w:t>
      </w:r>
      <w:r>
        <w:rPr>
          <w:rFonts w:ascii="Cambria" w:cs="Cambria" w:eastAsia="Cambria" w:hAnsi="Cambria"/>
          <w:i/>
          <w:iCs/>
          <w:sz w:val="22"/>
          <w:szCs w:val="22"/>
          <w:vertAlign w:val="subscript"/>
        </w:rPr>
        <w:t xml:space="preserve">t−3</w:t>
      </w:r>
      <w:r>
        <w:rPr>
          <w:rFonts w:ascii="Cambria" w:cs="Cambria" w:eastAsia="Cambria" w:hAnsi="Cambria"/>
          <w:sz w:val="22"/>
          <w:szCs w:val="22"/>
        </w:rPr>
        <w:t xml:space="preserve"> + ⅓ </w:t>
      </w:r>
      <w:r>
        <w:rPr>
          <w:rFonts w:ascii="Cambria" w:cs="Cambria" w:eastAsia="Cambria" w:hAnsi="Cambria"/>
          <w:i/>
          <w:iCs/>
          <w:sz w:val="22"/>
          <w:szCs w:val="22"/>
        </w:rPr>
        <w:t xml:space="preserve">y</w:t>
      </w:r>
      <w:r>
        <w:rPr>
          <w:rFonts w:ascii="Cambria" w:cs="Cambria" w:eastAsia="Cambria" w:hAnsi="Cambria"/>
          <w:sz w:val="22"/>
          <w:szCs w:val="22"/>
          <w:vertAlign w:val="superscript"/>
        </w:rPr>
        <w:t xml:space="preserve">m</w:t>
      </w:r>
      <w:r>
        <w:rPr>
          <w:rFonts w:ascii="Cambria" w:cs="Cambria" w:eastAsia="Cambria" w:hAnsi="Cambria"/>
          <w:i/>
          <w:iCs/>
          <w:sz w:val="22"/>
          <w:szCs w:val="22"/>
          <w:vertAlign w:val="subscript"/>
        </w:rPr>
        <w:t xml:space="preserve">t−4</w:t>
      </w:r>
      <w:r>
        <w:rPr>
          <w:rFonts w:ascii="Cambria" w:cs="Cambria" w:eastAsia="Cambria" w:hAnsi="Cambria"/>
          <w:color w:val="888888"/>
          <w:sz w:val="20"/>
          <w:szCs w:val="20"/>
        </w:rPr>
        <w:t xml:space="preserve">        (5)</w:t>
      </w:r>
    </w:p>
    <w:p>
      <w:pPr>
        <w:spacing w:after="120" w:line="280"/>
        <w:jc w:val="both"/>
      </w:pPr>
      <w:r>
        <w:rPr>
          <w:rFonts w:ascii="Calibri" w:cs="Calibri" w:eastAsia="Calibri" w:hAnsi="Calibri"/>
          <w:sz w:val="21"/>
          <w:szCs w:val="21"/>
        </w:rPr>
        <w:t xml:space="preserve">En consecuencia el vector de estado incorpora el factor y sus cuatro rezagos, y la fila de medición del PBI aplica esos pesos triangulares sobre los rezagos del factor:</w:t>
      </w:r>
    </w:p>
    <w:p>
      <w:pPr>
        <w:shd w:fill="F2F2F2" w:val="clear"/>
        <w:spacing w:after="130" w:before="60"/>
        <w:jc w:val="center"/>
      </w:pPr>
      <w:r>
        <w:rPr>
          <w:rFonts w:ascii="Cambria" w:cs="Cambria" w:eastAsia="Cambria" w:hAnsi="Cambria"/>
          <w:i/>
          <w:iCs/>
          <w:sz w:val="22"/>
          <w:szCs w:val="22"/>
        </w:rPr>
        <w:t xml:space="preserve">α</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t−1</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t−2</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t−3</w:t>
      </w:r>
      <w:r>
        <w:rPr>
          <w:rFonts w:ascii="Cambria" w:cs="Cambria" w:eastAsia="Cambria" w:hAnsi="Cambria"/>
          <w:sz w:val="22"/>
          <w:szCs w:val="22"/>
        </w:rPr>
        <w:t xml:space="preserve">, </w:t>
      </w:r>
      <w:r>
        <w:rPr>
          <w:rFonts w:ascii="Cambria" w:cs="Cambria" w:eastAsia="Cambria" w:hAnsi="Cambria"/>
          <w:i/>
          <w:iCs/>
          <w:sz w:val="22"/>
          <w:szCs w:val="22"/>
        </w:rPr>
        <w:t xml:space="preserve">f</w:t>
      </w:r>
      <w:r>
        <w:rPr>
          <w:rFonts w:ascii="Cambria" w:cs="Cambria" w:eastAsia="Cambria" w:hAnsi="Cambria"/>
          <w:i/>
          <w:iCs/>
          <w:sz w:val="22"/>
          <w:szCs w:val="22"/>
          <w:vertAlign w:val="subscript"/>
        </w:rPr>
        <w:t xml:space="preserve">t−4</w:t>
      </w:r>
      <w:r>
        <w:rPr>
          <w:rFonts w:ascii="Cambria" w:cs="Cambria" w:eastAsia="Cambria" w:hAnsi="Cambria"/>
          <w:sz w:val="22"/>
          <w:szCs w:val="22"/>
        </w:rPr>
        <w:t xml:space="preserve">]′</w:t>
      </w:r>
    </w:p>
    <w:p>
      <w:pPr>
        <w:spacing w:after="120" w:line="280"/>
        <w:jc w:val="both"/>
      </w:pPr>
      <w:r>
        <w:rPr>
          <w:rFonts w:ascii="Calibri" w:cs="Calibri" w:eastAsia="Calibri" w:hAnsi="Calibri"/>
          <w:sz w:val="21"/>
          <w:szCs w:val="21"/>
        </w:rPr>
        <w:t xml:space="preserve">Un detalle técnico relevante: la idiosincrasia del PBI, agregada con esos mismos pesos, tiene varianza (1/9 + 4/9 + 1 + 4/9 + 1/9) = 19/9 veces la mensual. El código impone explícitamente ese factor de escala en la matriz de varianzas de medición.</w:t>
      </w:r>
    </w:p>
    <w:p>
      <w:pPr>
        <w:pStyle w:val="Heading2"/>
        <w:spacing w:after="80" w:before="200"/>
      </w:pPr>
      <w:r>
        <w:rPr>
          <w:rFonts w:ascii="Calibri" w:cs="Calibri" w:eastAsia="Calibri" w:hAnsi="Calibri"/>
          <w:b/>
          <w:bCs/>
          <w:color w:val="2E75B6"/>
          <w:sz w:val="23"/>
          <w:szCs w:val="23"/>
        </w:rPr>
        <w:t xml:space="preserve">6. El filtro de Kalman y el manejo nativo del ragged edge</w:t>
      </w:r>
    </w:p>
    <w:p>
      <w:pPr>
        <w:spacing w:after="120" w:line="280"/>
        <w:jc w:val="both"/>
      </w:pPr>
      <w:r>
        <w:rPr>
          <w:rFonts w:ascii="Calibri" w:cs="Calibri" w:eastAsia="Calibri" w:hAnsi="Calibri"/>
          <w:sz w:val="21"/>
          <w:szCs w:val="21"/>
        </w:rPr>
        <w:t xml:space="preserve">El filtro recorre el panel mes a mes alternando predicción y actualización. La propiedad decisiva para nowcasting es que, en cada período, </w:t>
      </w:r>
      <w:r>
        <w:rPr>
          <w:rFonts w:ascii="Calibri" w:cs="Calibri" w:eastAsia="Calibri" w:hAnsi="Calibri"/>
          <w:b/>
          <w:bCs/>
          <w:sz w:val="21"/>
          <w:szCs w:val="21"/>
        </w:rPr>
        <w:t xml:space="preserve">solo se utilizan las filas de la ecuación de medición efectivamente observadas</w:t>
      </w:r>
      <w:r>
        <w:rPr>
          <w:rFonts w:ascii="Calibri" w:cs="Calibri" w:eastAsia="Calibri" w:hAnsi="Calibri"/>
          <w:sz w:val="21"/>
          <w:szCs w:val="21"/>
        </w:rPr>
        <w:t xml:space="preserve">. Las series aún no publicadas simplemente no participan de la actualización de ese mes: no se imputan ni se descartan, sino que el filtro infiere el estado con la información disponible y actualiza la estimación a medida que llegan los datos. Esto convierte el borde dentado, que en el enfoque trimestral era un problema a resolver de forma ad-hoc, en una característica que el modelo maneja por construcción.</w:t>
      </w:r>
    </w:p>
    <w:p>
      <w:pPr>
        <w:pStyle w:val="Heading2"/>
        <w:spacing w:after="80" w:before="200"/>
      </w:pPr>
      <w:r>
        <w:rPr>
          <w:rFonts w:ascii="Calibri" w:cs="Calibri" w:eastAsia="Calibri" w:hAnsi="Calibri"/>
          <w:b/>
          <w:bCs/>
          <w:color w:val="2E75B6"/>
          <w:sz w:val="23"/>
          <w:szCs w:val="23"/>
        </w:rPr>
        <w:t xml:space="preserve">7. Estimación en dos pasos</w:t>
      </w:r>
    </w:p>
    <w:p>
      <w:pPr>
        <w:spacing w:after="120" w:line="280"/>
        <w:jc w:val="both"/>
      </w:pPr>
      <w:r>
        <w:rPr>
          <w:rFonts w:ascii="Calibri" w:cs="Calibri" w:eastAsia="Calibri" w:hAnsi="Calibri"/>
          <w:sz w:val="21"/>
          <w:szCs w:val="21"/>
        </w:rPr>
        <w:t xml:space="preserve">Se emplea el estimador en dos pasos de Doz, Giannone y Reichlin (2011), consistente bajo estructura factorial aproximada y considerablemente más robusto que la maximización directa de la verosimilitud en muestras cortas:</w:t>
      </w:r>
    </w:p>
    <w:p>
      <w:pPr>
        <w:pStyle w:val="ListParagraph"/>
        <w:numPr>
          <w:ilvl w:val="0"/>
          <w:numId w:val="1"/>
        </w:numPr>
        <w:spacing w:after="80" w:line="272"/>
      </w:pPr>
      <w:r>
        <w:rPr>
          <w:rFonts w:ascii="Calibri" w:cs="Calibri" w:eastAsia="Calibri" w:hAnsi="Calibri"/>
          <w:b/>
          <w:bCs/>
          <w:sz w:val="21"/>
          <w:szCs w:val="21"/>
        </w:rPr>
        <w:t xml:space="preserve">Paso 1: </w:t>
      </w:r>
      <w:r>
        <w:rPr>
          <w:rFonts w:ascii="Calibri" w:cs="Calibri" w:eastAsia="Calibri" w:hAnsi="Calibri"/>
          <w:sz w:val="21"/>
          <w:szCs w:val="21"/>
        </w:rPr>
        <w:t xml:space="preserve">componentes principales sobre el panel mensual estandarizado (con imputación EM para los faltantes) para obtener factores iniciales, cargas, la dinámica VAR de los factores y la ecuación del PBI bajo la restricción de agregación.</w:t>
      </w:r>
    </w:p>
    <w:p>
      <w:pPr>
        <w:pStyle w:val="ListParagraph"/>
        <w:numPr>
          <w:ilvl w:val="0"/>
          <w:numId w:val="1"/>
        </w:numPr>
        <w:spacing w:after="80" w:line="272"/>
      </w:pPr>
      <w:r>
        <w:rPr>
          <w:rFonts w:ascii="Calibri" w:cs="Calibri" w:eastAsia="Calibri" w:hAnsi="Calibri"/>
          <w:b/>
          <w:bCs/>
          <w:sz w:val="21"/>
          <w:szCs w:val="21"/>
        </w:rPr>
        <w:t xml:space="preserve">Paso 2: </w:t>
      </w:r>
      <w:r>
        <w:rPr>
          <w:rFonts w:ascii="Calibri" w:cs="Calibri" w:eastAsia="Calibri" w:hAnsi="Calibri"/>
          <w:sz w:val="21"/>
          <w:szCs w:val="21"/>
        </w:rPr>
        <w:t xml:space="preserve">con esos parámetros se corre el filtro de Kalman, que re-estima los factores incorporando el patrón real de datos faltantes y produce el nowcast.</w:t>
      </w:r>
    </w:p>
    <w:p>
      <w:r>
        <w:br w:type="page"/>
      </w:r>
    </w:p>
    <w:p>
      <w:pPr>
        <w:pStyle w:val="Heading1"/>
        <w:spacing w:after="130" w:before="300"/>
      </w:pPr>
      <w:r>
        <w:rPr>
          <w:rFonts w:ascii="Calibri" w:cs="Calibri" w:eastAsia="Calibri" w:hAnsi="Calibri"/>
          <w:b/>
          <w:bCs/>
          <w:color w:val="1F4E79"/>
          <w:sz w:val="28"/>
          <w:szCs w:val="28"/>
        </w:rPr>
        <w:t xml:space="preserve">Parte II — Procedimiento paso a paso aplicado en el código</w:t>
      </w:r>
    </w:p>
    <w:p>
      <w:pPr>
        <w:spacing w:after="120" w:line="280"/>
        <w:jc w:val="both"/>
      </w:pPr>
      <w:r>
        <w:rPr>
          <w:rFonts w:ascii="Calibri" w:cs="Calibri" w:eastAsia="Calibri" w:hAnsi="Calibri"/>
          <w:sz w:val="21"/>
          <w:szCs w:val="21"/>
        </w:rPr>
        <w:t xml:space="preserve">El módulo implementa el pipeline completo. El filtro de Kalman está programado desde cero para poder manejar explícitamente los datos faltantes. A continuación se describe cada etapa con la decisión econométrica que la sustenta.</w:t>
      </w:r>
    </w:p>
    <w:p>
      <w:pPr>
        <w:pStyle w:val="Heading2"/>
        <w:spacing w:after="80" w:before="200"/>
      </w:pPr>
      <w:r>
        <w:rPr>
          <w:rFonts w:ascii="Calibri" w:cs="Calibri" w:eastAsia="Calibri" w:hAnsi="Calibri"/>
          <w:b/>
          <w:bCs/>
          <w:color w:val="2E75B6"/>
          <w:sz w:val="23"/>
          <w:szCs w:val="23"/>
        </w:rPr>
        <w:t xml:space="preserve">Paso 1 — Construcción del panel mensual y estacionariedad</w:t>
      </w:r>
    </w:p>
    <w:p>
      <w:pPr>
        <w:spacing w:after="120" w:line="280"/>
        <w:jc w:val="both"/>
      </w:pPr>
      <w:r>
        <w:rPr>
          <w:rFonts w:ascii="Calibri" w:cs="Calibri" w:eastAsia="Calibri" w:hAnsi="Calibri"/>
          <w:sz w:val="21"/>
          <w:szCs w:val="21"/>
        </w:rPr>
        <w:t xml:space="preserve">Se carga la base (266 meses, abril 2004 – mayo 2026; 25 indicadores más el PBI). A diferencia del modelo anterior, </w:t>
      </w:r>
      <w:r>
        <w:rPr>
          <w:rFonts w:ascii="Calibri" w:cs="Calibri" w:eastAsia="Calibri" w:hAnsi="Calibri"/>
          <w:b/>
          <w:bCs/>
          <w:sz w:val="21"/>
          <w:szCs w:val="21"/>
        </w:rPr>
        <w:t xml:space="preserve">el panel NO se colapsa a frecuencia trimestral</w:t>
      </w:r>
      <w:r>
        <w:rPr>
          <w:rFonts w:ascii="Calibri" w:cs="Calibri" w:eastAsia="Calibri" w:hAnsi="Calibri"/>
          <w:sz w:val="21"/>
          <w:szCs w:val="21"/>
        </w:rPr>
        <w:t xml:space="preserve">: se conserva mensual.</w:t>
      </w:r>
    </w:p>
    <w:p>
      <w:pPr>
        <w:pStyle w:val="ListParagraph"/>
        <w:numPr>
          <w:ilvl w:val="0"/>
          <w:numId w:val="1"/>
        </w:numPr>
        <w:spacing w:after="80" w:line="272"/>
      </w:pPr>
      <w:r>
        <w:rPr>
          <w:rFonts w:ascii="Calibri" w:cs="Calibri" w:eastAsia="Calibri" w:hAnsi="Calibri"/>
          <w:sz w:val="21"/>
          <w:szCs w:val="21"/>
        </w:rPr>
        <w:t xml:space="preserve">Cada indicador se somete a un test ADF iterativo y se aplica la transformación mínima que induce estacionariedad (nivel → diferencia logarítmica → diferencia → segunda diferencia).</w:t>
      </w:r>
    </w:p>
    <w:p>
      <w:pPr>
        <w:pStyle w:val="ListParagraph"/>
        <w:numPr>
          <w:ilvl w:val="0"/>
          <w:numId w:val="1"/>
        </w:numPr>
        <w:spacing w:after="80" w:line="272"/>
      </w:pPr>
      <w:r>
        <w:rPr>
          <w:rFonts w:ascii="Calibri" w:cs="Calibri" w:eastAsia="Calibri" w:hAnsi="Calibri"/>
          <w:sz w:val="21"/>
          <w:szCs w:val="21"/>
        </w:rPr>
        <w:t xml:space="preserve">Se exige estacionariedad al 1% para aceptar una serie en nivel. Es una decisión deliberada: muchas series de actividad son casi I(1) y superan un ADF al 5% por poco; dejarlas en nivel las decorrelaciona artificialmente del objetivo, que es una tasa de crecimiento.</w:t>
      </w:r>
    </w:p>
    <w:p>
      <w:pPr>
        <w:pStyle w:val="ListParagraph"/>
        <w:numPr>
          <w:ilvl w:val="0"/>
          <w:numId w:val="1"/>
        </w:numPr>
        <w:spacing w:after="80" w:line="272"/>
      </w:pPr>
      <w:r>
        <w:rPr>
          <w:rFonts w:ascii="Calibri" w:cs="Calibri" w:eastAsia="Calibri" w:hAnsi="Calibri"/>
          <w:sz w:val="21"/>
          <w:szCs w:val="21"/>
        </w:rPr>
        <w:t xml:space="preserve">El PBI trimestral se ubica en el </w:t>
      </w:r>
      <w:r>
        <w:rPr>
          <w:rFonts w:ascii="Calibri" w:cs="Calibri" w:eastAsia="Calibri" w:hAnsi="Calibri"/>
          <w:b/>
          <w:bCs/>
          <w:sz w:val="21"/>
          <w:szCs w:val="21"/>
        </w:rPr>
        <w:t xml:space="preserve">último mes de cada trimestre</w:t>
      </w:r>
      <w:r>
        <w:rPr>
          <w:rFonts w:ascii="Calibri" w:cs="Calibri" w:eastAsia="Calibri" w:hAnsi="Calibri"/>
          <w:sz w:val="21"/>
          <w:szCs w:val="21"/>
        </w:rPr>
        <w:t xml:space="preserve">, con valor faltante en los otros dos meses. Así lo consume la ecuación de medición con los pesos de Mariano-Murasawa.</w:t>
      </w:r>
    </w:p>
    <w:p>
      <w:pPr>
        <w:pStyle w:val="Heading2"/>
        <w:spacing w:after="80" w:before="200"/>
      </w:pPr>
      <w:r>
        <w:rPr>
          <w:rFonts w:ascii="Calibri" w:cs="Calibri" w:eastAsia="Calibri" w:hAnsi="Calibri"/>
          <w:b/>
          <w:bCs/>
          <w:color w:val="2E75B6"/>
          <w:sz w:val="23"/>
          <w:szCs w:val="23"/>
        </w:rPr>
        <w:t xml:space="preserve">Paso 2 — Calendario de publicación y simulación del ragged edge</w:t>
      </w:r>
    </w:p>
    <w:p>
      <w:pPr>
        <w:spacing w:after="120" w:line="280"/>
        <w:jc w:val="both"/>
      </w:pPr>
      <w:r>
        <w:rPr>
          <w:rFonts w:ascii="Calibri" w:cs="Calibri" w:eastAsia="Calibri" w:hAnsi="Calibri"/>
          <w:sz w:val="21"/>
          <w:szCs w:val="21"/>
        </w:rPr>
        <w:t xml:space="preserve">Es el paso que convierte el ejercicio en genuinamente real-time y reproduce el espíritu de la actualización secuencial del trabajo original. A cada serie se le asigna su rezago de publicación efectivo y, al nowcastear con fecha de referencia </w:t>
      </w:r>
      <w:r>
        <w:rPr>
          <w:rFonts w:ascii="Cambria" w:cs="Cambria" w:eastAsia="Cambria" w:hAnsi="Cambria"/>
          <w:i/>
          <w:iCs/>
          <w:sz w:val="22"/>
          <w:szCs w:val="22"/>
        </w:rPr>
        <w:t xml:space="preserve">T</w:t>
      </w:r>
      <w:r>
        <w:rPr>
          <w:rFonts w:ascii="Calibri" w:cs="Calibri" w:eastAsia="Calibri" w:hAnsi="Calibri"/>
          <w:sz w:val="21"/>
          <w:szCs w:val="21"/>
        </w:rPr>
        <w:t xml:space="preserve">, la serie </w:t>
      </w:r>
      <w:r>
        <w:rPr>
          <w:rFonts w:ascii="Cambria" w:cs="Cambria" w:eastAsia="Cambria" w:hAnsi="Cambria"/>
          <w:i/>
          <w:iCs/>
          <w:sz w:val="22"/>
          <w:szCs w:val="22"/>
        </w:rPr>
        <w:t xml:space="preserve">i</w:t>
      </w:r>
      <w:r>
        <w:rPr>
          <w:rFonts w:ascii="Calibri" w:cs="Calibri" w:eastAsia="Calibri" w:hAnsi="Calibri"/>
          <w:sz w:val="21"/>
          <w:szCs w:val="21"/>
        </w:rPr>
        <w:t xml:space="preserve"> solo se observa hasta </w:t>
      </w:r>
      <w:r>
        <w:rPr>
          <w:rFonts w:ascii="Cambria" w:cs="Cambria" w:eastAsia="Cambria" w:hAnsi="Cambria"/>
          <w:i/>
          <w:iCs/>
          <w:sz w:val="22"/>
          <w:szCs w:val="22"/>
        </w:rPr>
        <w:t xml:space="preserve">T</w:t>
      </w:r>
      <w:r>
        <w:rPr>
          <w:rFonts w:ascii="Calibri" w:cs="Calibri" w:eastAsia="Calibri" w:hAnsi="Calibri"/>
          <w:sz w:val="21"/>
          <w:szCs w:val="21"/>
        </w:rPr>
        <w:t xml:space="preserve"> − rezago</w:t>
      </w:r>
      <w:r>
        <w:rPr>
          <w:rFonts w:ascii="Cambria" w:cs="Cambria" w:eastAsia="Cambria" w:hAnsi="Cambria"/>
          <w:i/>
          <w:iCs/>
          <w:sz w:val="22"/>
          <w:szCs w:val="22"/>
          <w:vertAlign w:val="subscript"/>
        </w:rPr>
        <w:t xml:space="preserve">i</w:t>
      </w:r>
      <w:r>
        <w:rPr>
          <w:rFonts w:ascii="Calibri" w:cs="Calibri" w:eastAsia="Calibri" w:hAnsi="Calibri"/>
          <w:sz w:val="21"/>
          <w:szCs w:val="21"/>
        </w:rPr>
        <w:t xml:space="preserve">:</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1400"/>
        <w:gridCol w:w="4926"/>
        <w:gridCol w:w="2700"/>
      </w:tblGrid>
      <w:tr>
        <w:trPr>
          <w:tblHeader/>
        </w:trPr>
        <w:tc>
          <w:tcPr>
            <w:tcW w:type="dxa" w:w="1400"/>
            <w:shd w:fill="2E75B6" w:val="clear"/>
            <w:tcMar>
              <w:top w:type="dxa" w:w="60"/>
              <w:left w:type="dxa" w:w="80"/>
              <w:bottom w:type="dxa" w:w="60"/>
              <w:right w:type="dxa" w:w="80"/>
            </w:tcMar>
          </w:tcPr>
          <w:p>
            <w:pPr>
              <w:jc w:val="left"/>
            </w:pPr>
            <w:r>
              <w:rPr>
                <w:rFonts w:ascii="Calibri" w:cs="Calibri" w:eastAsia="Calibri" w:hAnsi="Calibri"/>
                <w:b/>
                <w:bCs/>
                <w:color w:val="FFFFFF"/>
                <w:sz w:val="19"/>
                <w:szCs w:val="19"/>
              </w:rPr>
              <w:t xml:space="preserve">Rezago</w:t>
            </w:r>
          </w:p>
        </w:tc>
        <w:tc>
          <w:tcPr>
            <w:tcW w:type="dxa" w:w="4926"/>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Series</w:t>
            </w:r>
          </w:p>
        </w:tc>
        <w:tc>
          <w:tcPr>
            <w:tcW w:type="dxa" w:w="27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Fundamento</w:t>
            </w:r>
          </w:p>
        </w:tc>
      </w:tr>
      <w:tr>
        <w:tc>
          <w:tcPr>
            <w:tcW w:type="dxa" w:w="1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0 meses</w:t>
            </w:r>
          </w:p>
        </w:tc>
        <w:tc>
          <w:tcPr>
            <w:tcW w:type="dxa" w:w="49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Financieras y monetarias (BADLAR, EMBI, ITCRM, M1, M2); automotriz (ADEFA); cemento (AFCP); recaudación; ICC; ICG</w:t>
            </w:r>
          </w:p>
        </w:tc>
        <w:tc>
          <w:tcPr>
            <w:tcW w:type="dxa" w:w="27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Publicación inmediata o dentro de los primeros días del mes siguiente</w:t>
            </w:r>
          </w:p>
        </w:tc>
      </w:tr>
      <w:tr>
        <w:tc>
          <w:tcPr>
            <w:tcW w:type="dxa" w:w="1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1 mes</w:t>
            </w:r>
          </w:p>
        </w:tc>
        <w:tc>
          <w:tcPr>
            <w:tcW w:type="dxa" w:w="49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Siderurgia; molienda de soja; índice líder; IGA-OJF; IPI; ISAC</w:t>
            </w:r>
          </w:p>
        </w:tc>
        <w:tc>
          <w:tcPr>
            <w:tcW w:type="dxa" w:w="27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Cámaras sectoriales e INDEC con rezago intermedio</w:t>
            </w:r>
          </w:p>
        </w:tc>
      </w:tr>
      <w:tr>
        <w:tc>
          <w:tcPr>
            <w:tcW w:type="dxa" w:w="1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2 meses</w:t>
            </w:r>
          </w:p>
        </w:tc>
        <w:tc>
          <w:tcPr>
            <w:tcW w:type="dxa" w:w="49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EMAE; salarios</w:t>
            </w:r>
          </w:p>
        </w:tc>
        <w:tc>
          <w:tcPr>
            <w:tcW w:type="dxa" w:w="27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INDEC con publicación lenta (≈50-60 días)</w:t>
            </w:r>
          </w:p>
        </w:tc>
      </w:tr>
    </w:tbl>
    <w:p>
      <w:pPr>
        <w:spacing w:after="120" w:line="280"/>
        <w:jc w:val="both"/>
      </w:pPr>
      <w:r>
        <w:rPr>
          <w:rFonts w:ascii="Calibri" w:cs="Calibri" w:eastAsia="Calibri" w:hAnsi="Calibri"/>
          <w:sz w:val="21"/>
          <w:szCs w:val="21"/>
        </w:rPr>
        <w:t xml:space="preserve">Consecuencia metodológica de primer orden: </w:t>
      </w:r>
      <w:r>
        <w:rPr>
          <w:rFonts w:ascii="Calibri" w:cs="Calibri" w:eastAsia="Calibri" w:hAnsi="Calibri"/>
          <w:b/>
          <w:bCs/>
          <w:sz w:val="21"/>
          <w:szCs w:val="21"/>
        </w:rPr>
        <w:t xml:space="preserve">permite incorporar EMAE al panel sin introducir sesgo</w:t>
      </w:r>
      <w:r>
        <w:rPr>
          <w:rFonts w:ascii="Calibri" w:cs="Calibri" w:eastAsia="Calibri" w:hAnsi="Calibri"/>
          <w:sz w:val="21"/>
          <w:szCs w:val="21"/>
        </w:rPr>
        <w:t xml:space="preserve">. En el modelo trimestral anterior hubo que excluir EMAE porque, siendo casi el PBI mensual, generaba una performance ilusoria. Aquí entra al panel pero llega con su rezago real, de modo que en el trimestre corriente está ausente y el filtro la interpola a través del factor común. Es el tratamiento correcto en lugar de la exclusión.</w:t>
      </w:r>
    </w:p>
    <w:p>
      <w:pPr>
        <w:pStyle w:val="Heading2"/>
        <w:spacing w:after="80" w:before="200"/>
      </w:pPr>
      <w:r>
        <w:rPr>
          <w:rFonts w:ascii="Calibri" w:cs="Calibri" w:eastAsia="Calibri" w:hAnsi="Calibri"/>
          <w:b/>
          <w:bCs/>
          <w:color w:val="2E75B6"/>
          <w:sz w:val="23"/>
          <w:szCs w:val="23"/>
        </w:rPr>
        <w:t xml:space="preserve">Paso 3 — Estimación en dos pasos (con robustez al outlier)</w:t>
      </w:r>
    </w:p>
    <w:p>
      <w:pPr>
        <w:spacing w:after="120" w:line="280"/>
        <w:jc w:val="both"/>
      </w:pPr>
      <w:r>
        <w:rPr>
          <w:rFonts w:ascii="Calibri" w:cs="Calibri" w:eastAsia="Calibri" w:hAnsi="Calibri"/>
          <w:sz w:val="21"/>
          <w:szCs w:val="21"/>
        </w:rPr>
        <w:t xml:space="preserve">Se estandariza el panel y se estiman los parámetros. Los momentos de estandarización, las cargas, las varianzas idiosincrásicas, la dinámica VAR y la ecuación del PBI se calculan </w:t>
      </w:r>
      <w:r>
        <w:rPr>
          <w:rFonts w:ascii="Calibri" w:cs="Calibri" w:eastAsia="Calibri" w:hAnsi="Calibri"/>
          <w:b/>
          <w:bCs/>
          <w:sz w:val="21"/>
          <w:szCs w:val="21"/>
        </w:rPr>
        <w:t xml:space="preserve">excluyendo los meses de marzo a septiembre de 2020</w:t>
      </w:r>
      <w:r>
        <w:rPr>
          <w:rFonts w:ascii="Calibri" w:cs="Calibri" w:eastAsia="Calibri" w:hAnsi="Calibri"/>
          <w:sz w:val="21"/>
          <w:szCs w:val="21"/>
        </w:rPr>
        <w:t xml:space="preserve">. El PCA se ajusta sobre la submuestra sin COVID pero se proyecta sobre todos los meses, de modo que los factores igual capturan el colapso sin que ese episodio determine los parámetros estructurales.</w:t>
      </w:r>
    </w:p>
    <w:p>
      <w:pPr>
        <w:shd w:fill="F7F7F7" w:val="clear"/>
        <w:spacing w:after="60"/>
      </w:pPr>
      <w:r>
        <w:rPr>
          <w:rFonts w:ascii="Consolas" w:cs="Consolas" w:eastAsia="Consolas" w:hAnsi="Consolas"/>
          <w:color w:val="7030A0"/>
          <w:sz w:val="18"/>
          <w:szCs w:val="18"/>
        </w:rPr>
        <w:t xml:space="preserve">mu, sd, Lam, sig2, A, Sigma_eta, lam_y  -&gt;  estimados con máscara ex-COVID</w:t>
      </w:r>
    </w:p>
    <w:p>
      <w:pPr>
        <w:pStyle w:val="Heading2"/>
        <w:spacing w:after="80" w:before="200"/>
      </w:pPr>
      <w:r>
        <w:rPr>
          <w:rFonts w:ascii="Calibri" w:cs="Calibri" w:eastAsia="Calibri" w:hAnsi="Calibri"/>
          <w:b/>
          <w:bCs/>
          <w:color w:val="2E75B6"/>
          <w:sz w:val="23"/>
          <w:szCs w:val="23"/>
        </w:rPr>
        <w:t xml:space="preserve">Paso 4 — Construcción de las matrices del espacio de estados</w:t>
      </w:r>
    </w:p>
    <w:p>
      <w:pPr>
        <w:spacing w:after="120" w:line="280"/>
        <w:jc w:val="both"/>
      </w:pPr>
      <w:r>
        <w:rPr>
          <w:rFonts w:ascii="Calibri" w:cs="Calibri" w:eastAsia="Calibri" w:hAnsi="Calibri"/>
          <w:sz w:val="21"/>
          <w:szCs w:val="21"/>
        </w:rPr>
        <w:t xml:space="preserve">Con 3 factores y 5 rezagos, el vector de estado tiene dimensión 15. Se arman:</w:t>
      </w:r>
    </w:p>
    <w:p>
      <w:pPr>
        <w:pStyle w:val="ListParagraph"/>
        <w:numPr>
          <w:ilvl w:val="0"/>
          <w:numId w:val="1"/>
        </w:numPr>
        <w:spacing w:after="80" w:line="272"/>
      </w:pPr>
      <w:r>
        <w:rPr>
          <w:rFonts w:ascii="Calibri" w:cs="Calibri" w:eastAsia="Calibri" w:hAnsi="Calibri"/>
          <w:b/>
          <w:bCs/>
          <w:sz w:val="21"/>
          <w:szCs w:val="21"/>
        </w:rPr>
        <w:t xml:space="preserve">Transición: </w:t>
      </w:r>
      <w:r>
        <w:rPr>
          <w:rFonts w:ascii="Calibri" w:cs="Calibri" w:eastAsia="Calibri" w:hAnsi="Calibri"/>
          <w:sz w:val="21"/>
          <w:szCs w:val="21"/>
        </w:rPr>
        <w:t xml:space="preserve">VAR(1) en el primer bloque y desplazamiento identidad en los bloques de rezagos.</w:t>
      </w:r>
    </w:p>
    <w:p>
      <w:pPr>
        <w:pStyle w:val="ListParagraph"/>
        <w:numPr>
          <w:ilvl w:val="0"/>
          <w:numId w:val="1"/>
        </w:numPr>
        <w:spacing w:after="80" w:line="272"/>
      </w:pPr>
      <w:r>
        <w:rPr>
          <w:rFonts w:ascii="Calibri" w:cs="Calibri" w:eastAsia="Calibri" w:hAnsi="Calibri"/>
          <w:b/>
          <w:bCs/>
          <w:sz w:val="21"/>
          <w:szCs w:val="21"/>
        </w:rPr>
        <w:t xml:space="preserve">Medición: </w:t>
      </w:r>
      <w:r>
        <w:rPr>
          <w:rFonts w:ascii="Calibri" w:cs="Calibri" w:eastAsia="Calibri" w:hAnsi="Calibri"/>
          <w:sz w:val="21"/>
          <w:szCs w:val="21"/>
        </w:rPr>
        <w:t xml:space="preserve">25 filas de indicadores mensuales (cargas sobre el factor contemporáneo) más una fila del PBI con los pesos triangulares ⅓, ⅔, 1, ⅔, ⅓ aplicados a los cinco bloques de rezagos.</w:t>
      </w:r>
    </w:p>
    <w:p>
      <w:pPr>
        <w:pStyle w:val="ListParagraph"/>
        <w:numPr>
          <w:ilvl w:val="0"/>
          <w:numId w:val="1"/>
        </w:numPr>
        <w:spacing w:after="80" w:line="272"/>
      </w:pPr>
      <w:r>
        <w:rPr>
          <w:rFonts w:ascii="Calibri" w:cs="Calibri" w:eastAsia="Calibri" w:hAnsi="Calibri"/>
          <w:b/>
          <w:bCs/>
          <w:sz w:val="21"/>
          <w:szCs w:val="21"/>
        </w:rPr>
        <w:t xml:space="preserve">Varianzas: </w:t>
      </w:r>
      <w:r>
        <w:rPr>
          <w:rFonts w:ascii="Calibri" w:cs="Calibri" w:eastAsia="Calibri" w:hAnsi="Calibri"/>
          <w:sz w:val="21"/>
          <w:szCs w:val="21"/>
        </w:rPr>
        <w:t xml:space="preserve">idiosincrásicas por serie, y la del PBI escalada por 19/9 según la agregación.</w:t>
      </w:r>
    </w:p>
    <w:p>
      <w:pPr>
        <w:pStyle w:val="ListParagraph"/>
        <w:numPr>
          <w:ilvl w:val="0"/>
          <w:numId w:val="1"/>
        </w:numPr>
        <w:spacing w:after="80" w:line="272"/>
      </w:pPr>
      <w:r>
        <w:rPr>
          <w:rFonts w:ascii="Calibri" w:cs="Calibri" w:eastAsia="Calibri" w:hAnsi="Calibri"/>
          <w:b/>
          <w:bCs/>
          <w:sz w:val="21"/>
          <w:szCs w:val="21"/>
        </w:rPr>
        <w:t xml:space="preserve">Estado inicial: </w:t>
      </w:r>
      <w:r>
        <w:rPr>
          <w:rFonts w:ascii="Calibri" w:cs="Calibri" w:eastAsia="Calibri" w:hAnsi="Calibri"/>
          <w:sz w:val="21"/>
          <w:szCs w:val="21"/>
        </w:rPr>
        <w:t xml:space="preserve">media cero y covarianza estacionaria resuelta por la ecuación de Lyapunov discreta.</w:t>
      </w:r>
    </w:p>
    <w:p>
      <w:pPr>
        <w:pStyle w:val="Heading2"/>
        <w:spacing w:after="80" w:before="200"/>
      </w:pPr>
      <w:r>
        <w:rPr>
          <w:rFonts w:ascii="Calibri" w:cs="Calibri" w:eastAsia="Calibri" w:hAnsi="Calibri"/>
          <w:b/>
          <w:bCs/>
          <w:color w:val="2E75B6"/>
          <w:sz w:val="23"/>
          <w:szCs w:val="23"/>
        </w:rPr>
        <w:t xml:space="preserve">Paso 5 — Filtrado y producción del nowcast</w:t>
      </w:r>
    </w:p>
    <w:p>
      <w:pPr>
        <w:spacing w:after="120" w:line="280"/>
        <w:jc w:val="both"/>
      </w:pPr>
      <w:r>
        <w:rPr>
          <w:rFonts w:ascii="Calibri" w:cs="Calibri" w:eastAsia="Calibri" w:hAnsi="Calibri"/>
          <w:sz w:val="21"/>
          <w:szCs w:val="21"/>
        </w:rPr>
        <w:t xml:space="preserve">El filtro corre sobre el panel con ragged edge. El nowcast del trimestre es el valor de la fila de medición del PBI evaluada en el estado filtrado del último mes del trimestre. La salida es dual: nivel del crecimiento q/q y probabilidad de expansión, calculada como P(</w:t>
      </w:r>
      <w:r>
        <w:rPr>
          <w:rFonts w:ascii="Cambria" w:cs="Cambria" w:eastAsia="Cambria" w:hAnsi="Cambria"/>
          <w:i/>
          <w:iCs/>
          <w:sz w:val="22"/>
          <w:szCs w:val="22"/>
        </w:rPr>
        <w:t xml:space="preserve">y</w:t>
      </w:r>
      <w:r>
        <w:rPr>
          <w:rFonts w:ascii="Cambria" w:cs="Cambria" w:eastAsia="Cambria" w:hAnsi="Cambria"/>
          <w:i/>
          <w:iCs/>
          <w:sz w:val="22"/>
          <w:szCs w:val="22"/>
          <w:vertAlign w:val="subscript"/>
        </w:rPr>
        <w:t xml:space="preserve">t</w:t>
      </w:r>
      <w:r>
        <w:rPr>
          <w:rFonts w:ascii="Calibri" w:cs="Calibri" w:eastAsia="Calibri" w:hAnsi="Calibri"/>
          <w:sz w:val="21"/>
          <w:szCs w:val="21"/>
        </w:rPr>
        <w:t xml:space="preserve"> &gt; 0) a partir de la varianza del estado proyectado más la idiosincrasia del producto.</w:t>
      </w:r>
    </w:p>
    <w:p>
      <w:pPr>
        <w:pStyle w:val="Heading2"/>
        <w:spacing w:after="80" w:before="200"/>
      </w:pPr>
      <w:r>
        <w:rPr>
          <w:rFonts w:ascii="Calibri" w:cs="Calibri" w:eastAsia="Calibri" w:hAnsi="Calibri"/>
          <w:b/>
          <w:bCs/>
          <w:color w:val="2E75B6"/>
          <w:sz w:val="23"/>
          <w:szCs w:val="23"/>
        </w:rPr>
        <w:t xml:space="preserve">Paso 6 — Evaluación pseudo out-of-sample real-time</w:t>
      </w:r>
    </w:p>
    <w:p>
      <w:pPr>
        <w:spacing w:after="120" w:line="280"/>
        <w:jc w:val="both"/>
      </w:pPr>
      <w:r>
        <w:rPr>
          <w:rFonts w:ascii="Calibri" w:cs="Calibri" w:eastAsia="Calibri" w:hAnsi="Calibri"/>
          <w:sz w:val="21"/>
          <w:szCs w:val="21"/>
        </w:rPr>
        <w:t xml:space="preserve">Para cada trimestre del período de evaluación se replica exactamente la situación informativa que habría existido en ese momento:</w:t>
      </w:r>
    </w:p>
    <w:p>
      <w:pPr>
        <w:pStyle w:val="ListParagraph"/>
        <w:numPr>
          <w:ilvl w:val="0"/>
          <w:numId w:val="1"/>
        </w:numPr>
        <w:spacing w:after="80" w:line="272"/>
      </w:pPr>
      <w:r>
        <w:rPr>
          <w:rFonts w:ascii="Calibri" w:cs="Calibri" w:eastAsia="Calibri" w:hAnsi="Calibri"/>
          <w:sz w:val="21"/>
          <w:szCs w:val="21"/>
        </w:rPr>
        <w:t xml:space="preserve">se fija la fecha de referencia en el último mes del trimestre a estimar;</w:t>
      </w:r>
    </w:p>
    <w:p>
      <w:pPr>
        <w:pStyle w:val="ListParagraph"/>
        <w:numPr>
          <w:ilvl w:val="0"/>
          <w:numId w:val="1"/>
        </w:numPr>
        <w:spacing w:after="80" w:line="272"/>
      </w:pPr>
      <w:r>
        <w:rPr>
          <w:rFonts w:ascii="Calibri" w:cs="Calibri" w:eastAsia="Calibri" w:hAnsi="Calibri"/>
          <w:sz w:val="21"/>
          <w:szCs w:val="21"/>
        </w:rPr>
        <w:t xml:space="preserve">se aplica el calendario de publicación (ragged edge);</w:t>
      </w:r>
    </w:p>
    <w:p>
      <w:pPr>
        <w:pStyle w:val="ListParagraph"/>
        <w:numPr>
          <w:ilvl w:val="0"/>
          <w:numId w:val="1"/>
        </w:numPr>
        <w:spacing w:after="80" w:line="272"/>
      </w:pPr>
      <w:r>
        <w:rPr>
          <w:rFonts w:ascii="Calibri" w:cs="Calibri" w:eastAsia="Calibri" w:hAnsi="Calibri"/>
          <w:sz w:val="21"/>
          <w:szCs w:val="21"/>
        </w:rPr>
        <w:t xml:space="preserve">se blanquea el PBI del trimestre en curso —todavía no publicado—;</w:t>
      </w:r>
    </w:p>
    <w:p>
      <w:pPr>
        <w:pStyle w:val="ListParagraph"/>
        <w:numPr>
          <w:ilvl w:val="0"/>
          <w:numId w:val="1"/>
        </w:numPr>
        <w:spacing w:after="80" w:line="272"/>
      </w:pPr>
      <w:r>
        <w:rPr>
          <w:rFonts w:ascii="Calibri" w:cs="Calibri" w:eastAsia="Calibri" w:hAnsi="Calibri"/>
          <w:sz w:val="21"/>
          <w:szCs w:val="21"/>
        </w:rPr>
        <w:t xml:space="preserve">se </w:t>
      </w:r>
      <w:r>
        <w:rPr>
          <w:rFonts w:ascii="Calibri" w:cs="Calibri" w:eastAsia="Calibri" w:hAnsi="Calibri"/>
          <w:b/>
          <w:bCs/>
          <w:sz w:val="21"/>
          <w:szCs w:val="21"/>
        </w:rPr>
        <w:t xml:space="preserve">re-estiman todos los parámetros</w:t>
      </w:r>
      <w:r>
        <w:rPr>
          <w:rFonts w:ascii="Calibri" w:cs="Calibri" w:eastAsia="Calibri" w:hAnsi="Calibri"/>
          <w:sz w:val="21"/>
          <w:szCs w:val="21"/>
        </w:rPr>
        <w:t xml:space="preserve"> usando exclusivamente información hasta el trimestre anterior (estimación leak-free);</w:t>
      </w:r>
    </w:p>
    <w:p>
      <w:pPr>
        <w:pStyle w:val="ListParagraph"/>
        <w:numPr>
          <w:ilvl w:val="0"/>
          <w:numId w:val="1"/>
        </w:numPr>
        <w:spacing w:after="80" w:line="272"/>
      </w:pPr>
      <w:r>
        <w:rPr>
          <w:rFonts w:ascii="Calibri" w:cs="Calibri" w:eastAsia="Calibri" w:hAnsi="Calibri"/>
          <w:sz w:val="21"/>
          <w:szCs w:val="21"/>
        </w:rPr>
        <w:t xml:space="preserve">el filtro produce el nowcast, que se compara contra el dato efectivamente publicado.</w:t>
      </w:r>
    </w:p>
    <w:p>
      <w:pPr>
        <w:spacing w:after="120" w:line="280"/>
        <w:jc w:val="both"/>
      </w:pPr>
      <w:r>
        <w:rPr>
          <w:rFonts w:ascii="Calibri" w:cs="Calibri" w:eastAsia="Calibri" w:hAnsi="Calibri"/>
          <w:sz w:val="21"/>
          <w:szCs w:val="21"/>
        </w:rPr>
        <w:t xml:space="preserve">Ventana expansiva, con 40 trimestres de entrenamiento inicial. El período de evaluación abarca 47 trimestres (junio 2014 – diciembre 2025); la comparación contra los modelos alternativos se realiza sobre los 45 trimestres comunes.</w:t>
      </w:r>
    </w:p>
    <w:p>
      <w:pPr>
        <w:pStyle w:val="Heading2"/>
        <w:spacing w:after="80" w:before="200"/>
      </w:pPr>
      <w:r>
        <w:rPr>
          <w:rFonts w:ascii="Calibri" w:cs="Calibri" w:eastAsia="Calibri" w:hAnsi="Calibri"/>
          <w:b/>
          <w:bCs/>
          <w:color w:val="2E75B6"/>
          <w:sz w:val="23"/>
          <w:szCs w:val="23"/>
        </w:rPr>
        <w:t xml:space="preserve">Paso 7 — Proyección</w:t>
      </w:r>
    </w:p>
    <w:p>
      <w:pPr>
        <w:spacing w:after="120" w:line="280"/>
        <w:jc w:val="both"/>
      </w:pPr>
      <w:r>
        <w:rPr>
          <w:rFonts w:ascii="Calibri" w:cs="Calibri" w:eastAsia="Calibri" w:hAnsi="Calibri"/>
          <w:sz w:val="21"/>
          <w:szCs w:val="21"/>
        </w:rPr>
        <w:t xml:space="preserve">Los trimestres con datos mensuales disponibles se estiman por nowcast directo. Para los posteriores, el estado se itera hacia adelante con la matriz de transición y la incertidumbre acumula la varianza del estado proyectado, lo que ensancha progresivamente el intervalo.</w:t>
      </w:r>
    </w:p>
    <w:p>
      <w:r>
        <w:br w:type="page"/>
      </w:r>
    </w:p>
    <w:p>
      <w:pPr>
        <w:pStyle w:val="Heading1"/>
        <w:spacing w:after="130" w:before="300"/>
      </w:pPr>
      <w:r>
        <w:rPr>
          <w:rFonts w:ascii="Calibri" w:cs="Calibri" w:eastAsia="Calibri" w:hAnsi="Calibri"/>
          <w:b/>
          <w:bCs/>
          <w:color w:val="1F4E79"/>
          <w:sz w:val="28"/>
          <w:szCs w:val="28"/>
        </w:rPr>
        <w:t xml:space="preserve">Parte III — Metodología de validación</w:t>
      </w:r>
    </w:p>
    <w:p>
      <w:pPr>
        <w:pStyle w:val="Heading2"/>
        <w:spacing w:after="80" w:before="200"/>
      </w:pPr>
      <w:r>
        <w:rPr>
          <w:rFonts w:ascii="Calibri" w:cs="Calibri" w:eastAsia="Calibri" w:hAnsi="Calibri"/>
          <w:b/>
          <w:bCs/>
          <w:color w:val="2E75B6"/>
          <w:sz w:val="23"/>
          <w:szCs w:val="23"/>
        </w:rPr>
        <w:t xml:space="preserve">1. Controles anti-look-ahead</w:t>
      </w:r>
    </w:p>
    <w:p>
      <w:pPr>
        <w:spacing w:after="120" w:line="280"/>
        <w:jc w:val="both"/>
      </w:pPr>
      <w:r>
        <w:rPr>
          <w:rFonts w:ascii="Calibri" w:cs="Calibri" w:eastAsia="Calibri" w:hAnsi="Calibri"/>
          <w:sz w:val="21"/>
          <w:szCs w:val="21"/>
        </w:rPr>
        <w:t xml:space="preserve">La credibilidad del ejercicio descansa en que ninguna información futura contamine la estimación. Se aplicaron cuatro controles:</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3200"/>
        <w:gridCol w:w="5826"/>
      </w:tblGrid>
      <w:tr>
        <w:trPr>
          <w:tblHeader/>
        </w:trPr>
        <w:tc>
          <w:tcPr>
            <w:tcW w:type="dxa" w:w="3200"/>
            <w:shd w:fill="2E75B6" w:val="clear"/>
            <w:tcMar>
              <w:top w:type="dxa" w:w="60"/>
              <w:left w:type="dxa" w:w="80"/>
              <w:bottom w:type="dxa" w:w="60"/>
              <w:right w:type="dxa" w:w="80"/>
            </w:tcMar>
          </w:tcPr>
          <w:p>
            <w:pPr>
              <w:jc w:val="left"/>
            </w:pPr>
            <w:r>
              <w:rPr>
                <w:rFonts w:ascii="Calibri" w:cs="Calibri" w:eastAsia="Calibri" w:hAnsi="Calibri"/>
                <w:b/>
                <w:bCs/>
                <w:color w:val="FFFFFF"/>
                <w:sz w:val="19"/>
                <w:szCs w:val="19"/>
              </w:rPr>
              <w:t xml:space="preserve">Control</w:t>
            </w:r>
          </w:p>
        </w:tc>
        <w:tc>
          <w:tcPr>
            <w:tcW w:type="dxa" w:w="5826"/>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Implementación</w:t>
            </w:r>
          </w:p>
        </w:tc>
      </w:tr>
      <w:tr>
        <w:tc>
          <w:tcPr>
            <w:tcW w:type="dxa" w:w="32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Selección y extracción de factores</w:t>
            </w:r>
          </w:p>
        </w:tc>
        <w:tc>
          <w:tcPr>
            <w:tcW w:type="dxa" w:w="58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PCA, cargas, VAR y ecuación del PBI re-estimados dentro de cada ventana, solo con datos hasta t−1</w:t>
            </w:r>
          </w:p>
        </w:tc>
      </w:tr>
      <w:tr>
        <w:tc>
          <w:tcPr>
            <w:tcW w:type="dxa" w:w="32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Estandarización</w:t>
            </w:r>
          </w:p>
        </w:tc>
        <w:tc>
          <w:tcPr>
            <w:tcW w:type="dxa" w:w="58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Momentos calculados en la ventana de entrenamiento, nunca sobre la muestra completa</w:t>
            </w:r>
          </w:p>
        </w:tc>
      </w:tr>
      <w:tr>
        <w:tc>
          <w:tcPr>
            <w:tcW w:type="dxa" w:w="32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Disponibilidad de datos</w:t>
            </w:r>
          </w:p>
        </w:tc>
        <w:tc>
          <w:tcPr>
            <w:tcW w:type="dxa" w:w="58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Calendario de rezagos de publicación aplicado en cada fecha de referencia</w:t>
            </w:r>
          </w:p>
        </w:tc>
      </w:tr>
      <w:tr>
        <w:tc>
          <w:tcPr>
            <w:tcW w:type="dxa" w:w="32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Dato objetivo</w:t>
            </w:r>
          </w:p>
        </w:tc>
        <w:tc>
          <w:tcPr>
            <w:tcW w:type="dxa" w:w="58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El PBI del trimestre en curso se blanquea explícitamente antes de filtrar</w:t>
            </w:r>
          </w:p>
        </w:tc>
      </w:tr>
    </w:tbl>
    <w:p>
      <w:pPr>
        <w:pStyle w:val="Heading2"/>
        <w:spacing w:after="80" w:before="200"/>
      </w:pPr>
      <w:r>
        <w:rPr>
          <w:rFonts w:ascii="Calibri" w:cs="Calibri" w:eastAsia="Calibri" w:hAnsi="Calibri"/>
          <w:b/>
          <w:bCs/>
          <w:color w:val="2E75B6"/>
          <w:sz w:val="23"/>
          <w:szCs w:val="23"/>
        </w:rPr>
        <w:t xml:space="preserve">2. Métricas: dos ejes que responden preguntas distintas</w:t>
      </w:r>
    </w:p>
    <w:p>
      <w:pPr>
        <w:pStyle w:val="ListParagraph"/>
        <w:numPr>
          <w:ilvl w:val="0"/>
          <w:numId w:val="1"/>
        </w:numPr>
        <w:spacing w:after="80" w:line="272"/>
      </w:pPr>
      <w:r>
        <w:rPr>
          <w:rFonts w:ascii="Calibri" w:cs="Calibri" w:eastAsia="Calibri" w:hAnsi="Calibri"/>
          <w:b/>
          <w:bCs/>
          <w:sz w:val="21"/>
          <w:szCs w:val="21"/>
        </w:rPr>
        <w:t xml:space="preserve">Magnitud: </w:t>
      </w:r>
      <w:r>
        <w:rPr>
          <w:rFonts w:ascii="Calibri" w:cs="Calibri" w:eastAsia="Calibri" w:hAnsi="Calibri"/>
          <w:sz w:val="21"/>
          <w:szCs w:val="21"/>
        </w:rPr>
        <w:t xml:space="preserve">RMSE, MAE y RMSE excluyendo 2020. El RMSE se expresa en las mismas unidades que el objetivo, de modo que 0.0126 equivale a 1.26 puntos porcentuales de crecimiento trimestral. Es un error típico promedio, no una banda por trimestre.</w:t>
      </w:r>
    </w:p>
    <w:p>
      <w:pPr>
        <w:pStyle w:val="ListParagraph"/>
        <w:numPr>
          <w:ilvl w:val="0"/>
          <w:numId w:val="1"/>
        </w:numPr>
        <w:spacing w:after="80" w:line="272"/>
      </w:pPr>
      <w:r>
        <w:rPr>
          <w:rFonts w:ascii="Calibri" w:cs="Calibri" w:eastAsia="Calibri" w:hAnsi="Calibri"/>
          <w:b/>
          <w:bCs/>
          <w:sz w:val="21"/>
          <w:szCs w:val="21"/>
        </w:rPr>
        <w:t xml:space="preserve">Dirección: </w:t>
      </w:r>
      <w:r>
        <w:rPr>
          <w:rFonts w:ascii="Calibri" w:cs="Calibri" w:eastAsia="Calibri" w:hAnsi="Calibri"/>
          <w:sz w:val="21"/>
          <w:szCs w:val="21"/>
        </w:rPr>
        <w:t xml:space="preserve">acierto de signo (expansión vs. contracción). Es el eje operativamente relevante para decisiones de asignación táctica.</w:t>
      </w:r>
    </w:p>
    <w:p>
      <w:pPr>
        <w:pStyle w:val="Heading2"/>
        <w:spacing w:after="80" w:before="200"/>
      </w:pPr>
      <w:r>
        <w:rPr>
          <w:rFonts w:ascii="Calibri" w:cs="Calibri" w:eastAsia="Calibri" w:hAnsi="Calibri"/>
          <w:b/>
          <w:bCs/>
          <w:color w:val="2E75B6"/>
          <w:sz w:val="23"/>
          <w:szCs w:val="23"/>
        </w:rPr>
        <w:t xml:space="preserve">3. Tests estadísticos</w:t>
      </w:r>
    </w:p>
    <w:p>
      <w:pPr>
        <w:spacing w:after="60" w:before="140"/>
      </w:pPr>
      <w:r>
        <w:rPr>
          <w:rFonts w:ascii="Calibri" w:cs="Calibri" w:eastAsia="Calibri" w:hAnsi="Calibri"/>
          <w:b/>
          <w:bCs/>
          <w:color w:val="333333"/>
          <w:sz w:val="21"/>
          <w:szCs w:val="21"/>
        </w:rPr>
        <w:t xml:space="preserve">Giacomini-White (2006) — magnitud</w:t>
      </w:r>
    </w:p>
    <w:p>
      <w:pPr>
        <w:spacing w:after="120" w:line="280"/>
        <w:jc w:val="both"/>
      </w:pPr>
      <w:r>
        <w:rPr>
          <w:rFonts w:ascii="Calibri" w:cs="Calibri" w:eastAsia="Calibri" w:hAnsi="Calibri"/>
          <w:sz w:val="21"/>
          <w:szCs w:val="21"/>
        </w:rPr>
        <w:t xml:space="preserve">Contrasta si la diferencia de capacidad predictiva entre dos modelos es estadísticamente significativa sobre la función de pérdida cuadrática. Se reportan la versión incondicional (t con errores Newey-West) y la condicional (chi-cuadrado con instrumentos rezagados). Se evalúa además sobre la submuestra excluyendo 2020, porque el shock inflaba la varianza del diferencial de pérdida y anulaba la potencia del test.</w:t>
      </w:r>
    </w:p>
    <w:p>
      <w:pPr>
        <w:spacing w:after="60" w:before="140"/>
      </w:pPr>
      <w:r>
        <w:rPr>
          <w:rFonts w:ascii="Calibri" w:cs="Calibri" w:eastAsia="Calibri" w:hAnsi="Calibri"/>
          <w:b/>
          <w:bCs/>
          <w:color w:val="333333"/>
          <w:sz w:val="21"/>
          <w:szCs w:val="21"/>
        </w:rPr>
        <w:t xml:space="preserve">Pesaran-Timmermann (1992) — dirección</w:t>
      </w:r>
    </w:p>
    <w:p>
      <w:pPr>
        <w:spacing w:after="120" w:line="280"/>
        <w:jc w:val="both"/>
      </w:pPr>
      <w:r>
        <w:rPr>
          <w:rFonts w:ascii="Calibri" w:cs="Calibri" w:eastAsia="Calibri" w:hAnsi="Calibri"/>
          <w:sz w:val="21"/>
          <w:szCs w:val="21"/>
        </w:rPr>
        <w:t xml:space="preserve">Contrasta si el acierto de signo excede lo esperable por azar. Es indispensable porque el crecimiento trimestral argentino es positivo en la mayoría de los trimestres: predecir siempre expansión acierta mucho sin ninguna capacidad real. El test corrige exactamente ese sesgo.</w:t>
      </w:r>
    </w:p>
    <w:p>
      <w:pPr>
        <w:pStyle w:val="Heading2"/>
        <w:spacing w:after="80" w:before="200"/>
      </w:pPr>
      <w:r>
        <w:rPr>
          <w:rFonts w:ascii="Calibri" w:cs="Calibri" w:eastAsia="Calibri" w:hAnsi="Calibri"/>
          <w:b/>
          <w:bCs/>
          <w:color w:val="2E75B6"/>
          <w:sz w:val="23"/>
          <w:szCs w:val="23"/>
        </w:rPr>
        <w:t xml:space="preserve">4. Tratamiento del episodio COVID</w:t>
      </w:r>
    </w:p>
    <w:p>
      <w:pPr>
        <w:spacing w:after="120" w:line="280"/>
        <w:jc w:val="both"/>
      </w:pPr>
      <w:r>
        <w:rPr>
          <w:rFonts w:ascii="Calibri" w:cs="Calibri" w:eastAsia="Calibri" w:hAnsi="Calibri"/>
          <w:sz w:val="21"/>
          <w:szCs w:val="21"/>
        </w:rPr>
        <w:t xml:space="preserve">El colapso y rebote de 2020 (variaciones de ±12 a 16 puntos porcentuales) es un outlier que puede distorsionar tanto la estimación como la evaluación. Se distinguió explícitamente entre dos objetivos que suelen confundirse:</w:t>
      </w:r>
    </w:p>
    <w:p>
      <w:pPr>
        <w:pStyle w:val="ListParagraph"/>
        <w:numPr>
          <w:ilvl w:val="0"/>
          <w:numId w:val="1"/>
        </w:numPr>
        <w:spacing w:after="80" w:line="272"/>
      </w:pPr>
      <w:r>
        <w:rPr>
          <w:rFonts w:ascii="Calibri" w:cs="Calibri" w:eastAsia="Calibri" w:hAnsi="Calibri"/>
          <w:b/>
          <w:bCs/>
          <w:sz w:val="21"/>
          <w:szCs w:val="21"/>
        </w:rPr>
        <w:t xml:space="preserve">Los parámetros estructurales </w:t>
      </w:r>
      <w:r>
        <w:rPr>
          <w:rFonts w:ascii="Calibri" w:cs="Calibri" w:eastAsia="Calibri" w:hAnsi="Calibri"/>
          <w:sz w:val="21"/>
          <w:szCs w:val="21"/>
        </w:rPr>
        <w:t xml:space="preserve">(cargas, dinámica factorial, ecuación del PBI) </w:t>
      </w:r>
      <w:r>
        <w:rPr>
          <w:rFonts w:ascii="Calibri" w:cs="Calibri" w:eastAsia="Calibri" w:hAnsi="Calibri"/>
          <w:b/>
          <w:bCs/>
          <w:sz w:val="21"/>
          <w:szCs w:val="21"/>
        </w:rPr>
        <w:t xml:space="preserve">no deben quedar determinados por un único shock extremo</w:t>
      </w:r>
      <w:r>
        <w:rPr>
          <w:rFonts w:ascii="Calibri" w:cs="Calibri" w:eastAsia="Calibri" w:hAnsi="Calibri"/>
          <w:sz w:val="21"/>
          <w:szCs w:val="21"/>
        </w:rPr>
        <w:t xml:space="preserve">: se estiman excluyendo esos meses.</w:t>
      </w:r>
    </w:p>
    <w:p>
      <w:pPr>
        <w:pStyle w:val="ListParagraph"/>
        <w:numPr>
          <w:ilvl w:val="0"/>
          <w:numId w:val="1"/>
        </w:numPr>
        <w:spacing w:after="80" w:line="272"/>
      </w:pPr>
      <w:r>
        <w:rPr>
          <w:rFonts w:ascii="Calibri" w:cs="Calibri" w:eastAsia="Calibri" w:hAnsi="Calibri"/>
          <w:b/>
          <w:bCs/>
          <w:sz w:val="21"/>
          <w:szCs w:val="21"/>
        </w:rPr>
        <w:t xml:space="preserve">El filtro </w:t>
      </w:r>
      <w:r>
        <w:rPr>
          <w:rFonts w:ascii="Calibri" w:cs="Calibri" w:eastAsia="Calibri" w:hAnsi="Calibri"/>
          <w:b/>
          <w:bCs/>
          <w:sz w:val="21"/>
          <w:szCs w:val="21"/>
        </w:rPr>
        <w:t xml:space="preserve">sí debe seguir el shock</w:t>
      </w:r>
      <w:r>
        <w:rPr>
          <w:rFonts w:ascii="Calibri" w:cs="Calibri" w:eastAsia="Calibri" w:hAnsi="Calibri"/>
          <w:sz w:val="21"/>
          <w:szCs w:val="21"/>
        </w:rPr>
        <w:t xml:space="preserve">: el colapso fue real y los indicadores lo reflejaron. Reducir la confianza del filtro en los datos durante esos meses habría impedido capturar la caída.</w:t>
      </w:r>
    </w:p>
    <w:p>
      <w:pPr>
        <w:spacing w:after="120" w:line="280"/>
        <w:jc w:val="both"/>
      </w:pPr>
      <w:r>
        <w:rPr>
          <w:rFonts w:ascii="Calibri" w:cs="Calibri" w:eastAsia="Calibri" w:hAnsi="Calibri"/>
          <w:sz w:val="21"/>
          <w:szCs w:val="21"/>
        </w:rPr>
        <w:t xml:space="preserve">Esta distinción es material. Una implementación preliminar que inflaba la varianza de medición durante 2020 —con la intención de robustecer— provocaba que el filtro desconfiara de los indicadores justo cuando el colapso era genuino: las predicciones quedaban atenuadas al 57% de la varianza del objetivo y la correlación in-sample caía a 0.78. Corregido el tratamiento, la correlación asciende a </w:t>
      </w:r>
      <w:r>
        <w:rPr>
          <w:rFonts w:ascii="Calibri" w:cs="Calibri" w:eastAsia="Calibri" w:hAnsi="Calibri"/>
          <w:b/>
          <w:bCs/>
          <w:sz w:val="21"/>
          <w:szCs w:val="21"/>
        </w:rPr>
        <w:t xml:space="preserve">0.93</w:t>
      </w:r>
      <w:r>
        <w:rPr>
          <w:rFonts w:ascii="Calibri" w:cs="Calibri" w:eastAsia="Calibri" w:hAnsi="Calibri"/>
          <w:sz w:val="21"/>
          <w:szCs w:val="21"/>
        </w:rPr>
        <w:t xml:space="preserve"> y la relación de varianzas a 0.78. Se documenta explícitamente porque ilustra un riesgo real de los ajustes de robustez mal ubicados.</w:t>
      </w:r>
    </w:p>
    <w:p>
      <w:r>
        <w:br w:type="page"/>
      </w:r>
    </w:p>
    <w:p>
      <w:pPr>
        <w:pStyle w:val="Heading1"/>
        <w:spacing w:after="130" w:before="300"/>
      </w:pPr>
      <w:r>
        <w:rPr>
          <w:rFonts w:ascii="Calibri" w:cs="Calibri" w:eastAsia="Calibri" w:hAnsi="Calibri"/>
          <w:b/>
          <w:bCs/>
          <w:color w:val="1F4E79"/>
          <w:sz w:val="28"/>
          <w:szCs w:val="28"/>
        </w:rPr>
        <w:t xml:space="preserve">Parte IV — Resultados</w:t>
      </w:r>
    </w:p>
    <w:p>
      <w:pPr>
        <w:pStyle w:val="Heading2"/>
        <w:spacing w:after="80" w:before="200"/>
      </w:pPr>
      <w:r>
        <w:rPr>
          <w:rFonts w:ascii="Calibri" w:cs="Calibri" w:eastAsia="Calibri" w:hAnsi="Calibri"/>
          <w:b/>
          <w:bCs/>
          <w:color w:val="2E75B6"/>
          <w:sz w:val="23"/>
          <w:szCs w:val="23"/>
        </w:rPr>
        <w:t xml:space="preserve">1. Eficiencia comparada (45 trimestres out-of-sample)</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2426"/>
        <w:gridCol w:w="1300"/>
        <w:gridCol w:w="1600"/>
        <w:gridCol w:w="1300"/>
        <w:gridCol w:w="1400"/>
        <w:gridCol w:w="1000"/>
      </w:tblGrid>
      <w:tr>
        <w:trPr>
          <w:tblHeader/>
        </w:trPr>
        <w:tc>
          <w:tcPr>
            <w:tcW w:type="dxa" w:w="2426"/>
            <w:shd w:fill="2E75B6" w:val="clear"/>
            <w:tcMar>
              <w:top w:type="dxa" w:w="60"/>
              <w:left w:type="dxa" w:w="80"/>
              <w:bottom w:type="dxa" w:w="60"/>
              <w:right w:type="dxa" w:w="80"/>
            </w:tcMar>
          </w:tcPr>
          <w:p>
            <w:pPr>
              <w:jc w:val="left"/>
            </w:pPr>
            <w:r>
              <w:rPr>
                <w:rFonts w:ascii="Calibri" w:cs="Calibri" w:eastAsia="Calibri" w:hAnsi="Calibri"/>
                <w:b/>
                <w:bCs/>
                <w:color w:val="FFFFFF"/>
                <w:sz w:val="19"/>
                <w:szCs w:val="19"/>
              </w:rPr>
              <w:t xml:space="preserve">Modelo</w:t>
            </w:r>
          </w:p>
        </w:tc>
        <w:tc>
          <w:tcPr>
            <w:tcW w:type="dxa" w:w="13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RMSE</w:t>
            </w:r>
          </w:p>
        </w:tc>
        <w:tc>
          <w:tcPr>
            <w:tcW w:type="dxa" w:w="16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RMSE ex-2020</w:t>
            </w:r>
          </w:p>
        </w:tc>
        <w:tc>
          <w:tcPr>
            <w:tcW w:type="dxa" w:w="13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MAE</w:t>
            </w:r>
          </w:p>
        </w:tc>
        <w:tc>
          <w:tcPr>
            <w:tcW w:type="dxa" w:w="14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Acierto dir.</w:t>
            </w:r>
          </w:p>
        </w:tc>
        <w:tc>
          <w:tcPr>
            <w:tcW w:type="dxa" w:w="10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PT p-value</w:t>
            </w:r>
          </w:p>
        </w:tc>
      </w:tr>
      <w:tr>
        <w:tc>
          <w:tcPr>
            <w:tcW w:type="dxa" w:w="2426"/>
            <w:shd w:fill="DCE9F5" w:val="clear"/>
            <w:tcMar>
              <w:top w:type="dxa" w:w="50"/>
              <w:left w:type="dxa" w:w="80"/>
              <w:bottom w:type="dxa" w:w="50"/>
              <w:right w:type="dxa" w:w="80"/>
            </w:tcMar>
          </w:tcPr>
          <w:p>
            <w:pPr>
              <w:jc w:val="left"/>
            </w:pPr>
            <w:r>
              <w:rPr>
                <w:rFonts w:ascii="Calibri" w:cs="Calibri" w:eastAsia="Calibri" w:hAnsi="Calibri"/>
                <w:b/>
                <w:bCs/>
                <w:sz w:val="19"/>
                <w:szCs w:val="19"/>
              </w:rPr>
              <w:t xml:space="preserve">DFM-MQ</w:t>
            </w:r>
          </w:p>
        </w:tc>
        <w:tc>
          <w:tcPr>
            <w:tcW w:type="dxa" w:w="1300"/>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0.0126</w:t>
            </w:r>
          </w:p>
        </w:tc>
        <w:tc>
          <w:tcPr>
            <w:tcW w:type="dxa" w:w="1600"/>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0.0122</w:t>
            </w:r>
          </w:p>
        </w:tc>
        <w:tc>
          <w:tcPr>
            <w:tcW w:type="dxa" w:w="1300"/>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0.0096</w:t>
            </w:r>
          </w:p>
        </w:tc>
        <w:tc>
          <w:tcPr>
            <w:tcW w:type="dxa" w:w="1400"/>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75.6%</w:t>
            </w:r>
          </w:p>
        </w:tc>
        <w:tc>
          <w:tcPr>
            <w:tcW w:type="dxa" w:w="1000"/>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0.0006</w:t>
            </w:r>
          </w:p>
        </w:tc>
      </w:tr>
      <w:tr>
        <w:tc>
          <w:tcPr>
            <w:tcW w:type="dxa" w:w="2426"/>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Factores trimestral</w:t>
            </w:r>
          </w:p>
        </w:tc>
        <w:tc>
          <w:tcPr>
            <w:tcW w:type="dxa" w:w="13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0.0162</w:t>
            </w:r>
          </w:p>
        </w:tc>
        <w:tc>
          <w:tcPr>
            <w:tcW w:type="dxa" w:w="16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0.0160</w:t>
            </w:r>
          </w:p>
        </w:tc>
        <w:tc>
          <w:tcPr>
            <w:tcW w:type="dxa" w:w="13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0.0124</w:t>
            </w:r>
          </w:p>
        </w:tc>
        <w:tc>
          <w:tcPr>
            <w:tcW w:type="dxa" w:w="14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71.1%</w:t>
            </w:r>
          </w:p>
        </w:tc>
        <w:tc>
          <w:tcPr>
            <w:tcW w:type="dxa" w:w="10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0.0031</w:t>
            </w:r>
          </w:p>
        </w:tc>
      </w:tr>
      <w:tr>
        <w:tc>
          <w:tcPr>
            <w:tcW w:type="dxa" w:w="2426"/>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Ecuaciones puente</w:t>
            </w:r>
          </w:p>
        </w:tc>
        <w:tc>
          <w:tcPr>
            <w:tcW w:type="dxa" w:w="13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0.0224</w:t>
            </w:r>
          </w:p>
        </w:tc>
        <w:tc>
          <w:tcPr>
            <w:tcW w:type="dxa" w:w="16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0.0145</w:t>
            </w:r>
          </w:p>
        </w:tc>
        <w:tc>
          <w:tcPr>
            <w:tcW w:type="dxa" w:w="13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0.0137</w:t>
            </w:r>
          </w:p>
        </w:tc>
        <w:tc>
          <w:tcPr>
            <w:tcW w:type="dxa" w:w="14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73.3%</w:t>
            </w:r>
          </w:p>
        </w:tc>
        <w:tc>
          <w:tcPr>
            <w:tcW w:type="dxa" w:w="10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0.0014</w:t>
            </w:r>
          </w:p>
        </w:tc>
      </w:tr>
      <w:tr>
        <w:tc>
          <w:tcPr>
            <w:tcW w:type="dxa" w:w="2426"/>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AR(1) benchmark</w:t>
            </w:r>
          </w:p>
        </w:tc>
        <w:tc>
          <w:tcPr>
            <w:tcW w:type="dxa" w:w="13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0.0417</w:t>
            </w:r>
          </w:p>
        </w:tc>
        <w:tc>
          <w:tcPr>
            <w:tcW w:type="dxa" w:w="16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0.0173</w:t>
            </w:r>
          </w:p>
        </w:tc>
        <w:tc>
          <w:tcPr>
            <w:tcW w:type="dxa" w:w="13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0.0213</w:t>
            </w:r>
          </w:p>
        </w:tc>
        <w:tc>
          <w:tcPr>
            <w:tcW w:type="dxa" w:w="14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62.2%</w:t>
            </w:r>
          </w:p>
        </w:tc>
        <w:tc>
          <w:tcPr>
            <w:tcW w:type="dxa" w:w="10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0.3083</w:t>
            </w:r>
          </w:p>
        </w:tc>
      </w:tr>
    </w:tbl>
    <w:p>
      <w:pPr>
        <w:spacing w:after="120" w:line="280"/>
        <w:jc w:val="both"/>
      </w:pPr>
      <w:r>
        <w:rPr>
          <w:rFonts w:ascii="Calibri" w:cs="Calibri" w:eastAsia="Calibri" w:hAnsi="Calibri"/>
          <w:sz w:val="21"/>
          <w:szCs w:val="21"/>
        </w:rPr>
        <w:t xml:space="preserve">El DFM-MQ domina en las cuatro métricas cuantitativas. Reduce el RMSE un 23% respecto del modelo de factores trimestral y un 70% respecto del benchmark. Nótese que el AR(1) alcanza un 62.2% de acierto direccional pero con p=0.31: ese acierto es un artefacto de la asimetría del signo, no capacidad real.</w:t>
      </w:r>
    </w:p>
    <w:p>
      <w:pPr>
        <w:pStyle w:val="Heading2"/>
        <w:spacing w:after="80" w:before="200"/>
      </w:pPr>
      <w:r>
        <w:rPr>
          <w:rFonts w:ascii="Calibri" w:cs="Calibri" w:eastAsia="Calibri" w:hAnsi="Calibri"/>
          <w:b/>
          <w:bCs/>
          <w:color w:val="2E75B6"/>
          <w:sz w:val="23"/>
          <w:szCs w:val="23"/>
        </w:rPr>
        <w:t xml:space="preserve">2. Tests de Giacomini-White</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2100"/>
        <w:gridCol w:w="1800"/>
        <w:gridCol w:w="2526"/>
      </w:tblGrid>
      <w:tr>
        <w:trPr>
          <w:tblHeader/>
        </w:trPr>
        <w:tc>
          <w:tcPr>
            <w:tcW w:type="dxa" w:w="2600"/>
            <w:shd w:fill="2E75B6" w:val="clear"/>
            <w:tcMar>
              <w:top w:type="dxa" w:w="60"/>
              <w:left w:type="dxa" w:w="80"/>
              <w:bottom w:type="dxa" w:w="60"/>
              <w:right w:type="dxa" w:w="80"/>
            </w:tcMar>
          </w:tcPr>
          <w:p>
            <w:pPr>
              <w:jc w:val="left"/>
            </w:pPr>
            <w:r>
              <w:rPr>
                <w:rFonts w:ascii="Calibri" w:cs="Calibri" w:eastAsia="Calibri" w:hAnsi="Calibri"/>
                <w:b/>
                <w:bCs/>
                <w:color w:val="FFFFFF"/>
                <w:sz w:val="19"/>
                <w:szCs w:val="19"/>
              </w:rPr>
              <w:t xml:space="preserve">Contraste</w:t>
            </w:r>
          </w:p>
        </w:tc>
        <w:tc>
          <w:tcPr>
            <w:tcW w:type="dxa" w:w="21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Muestra completa (t / p)</w:t>
            </w:r>
          </w:p>
        </w:tc>
        <w:tc>
          <w:tcPr>
            <w:tcW w:type="dxa" w:w="18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Ex-COVID (t / p)</w:t>
            </w:r>
          </w:p>
        </w:tc>
        <w:tc>
          <w:tcPr>
            <w:tcW w:type="dxa" w:w="2526"/>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Conclusión</w:t>
            </w:r>
          </w:p>
        </w:tc>
      </w:tr>
      <w:tr>
        <w:tc>
          <w:tcPr>
            <w:tcW w:type="dxa" w:w="2600"/>
            <w:shd w:fill="DCE9F5" w:val="clear"/>
            <w:tcMar>
              <w:top w:type="dxa" w:w="50"/>
              <w:left w:type="dxa" w:w="80"/>
              <w:bottom w:type="dxa" w:w="50"/>
              <w:right w:type="dxa" w:w="80"/>
            </w:tcMar>
          </w:tcPr>
          <w:p>
            <w:pPr>
              <w:jc w:val="left"/>
            </w:pPr>
            <w:r>
              <w:rPr>
                <w:rFonts w:ascii="Calibri" w:cs="Calibri" w:eastAsia="Calibri" w:hAnsi="Calibri"/>
                <w:b/>
                <w:bCs/>
                <w:sz w:val="19"/>
                <w:szCs w:val="19"/>
              </w:rPr>
              <w:t xml:space="preserve">DFM-MQ vs AR(1)</w:t>
            </w:r>
          </w:p>
        </w:tc>
        <w:tc>
          <w:tcPr>
            <w:tcW w:type="dxa" w:w="2100"/>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1.44 / 0.149</w:t>
            </w:r>
          </w:p>
        </w:tc>
        <w:tc>
          <w:tcPr>
            <w:tcW w:type="dxa" w:w="1800"/>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2.43 / 0.015</w:t>
            </w:r>
          </w:p>
        </w:tc>
        <w:tc>
          <w:tcPr>
            <w:tcW w:type="dxa" w:w="2526"/>
            <w:shd w:fill="DCE9F5" w:val="clear"/>
            <w:tcMar>
              <w:top w:type="dxa" w:w="50"/>
              <w:left w:type="dxa" w:w="80"/>
              <w:bottom w:type="dxa" w:w="50"/>
              <w:right w:type="dxa" w:w="80"/>
            </w:tcMar>
          </w:tcPr>
          <w:p>
            <w:pPr>
              <w:jc w:val="center"/>
            </w:pPr>
            <w:r>
              <w:rPr>
                <w:rFonts w:ascii="Calibri" w:cs="Calibri" w:eastAsia="Calibri" w:hAnsi="Calibri"/>
                <w:b/>
                <w:bCs/>
                <w:sz w:val="19"/>
                <w:szCs w:val="19"/>
              </w:rPr>
              <w:t xml:space="preserve">Significativo en régimen normal</w:t>
            </w:r>
          </w:p>
        </w:tc>
      </w:tr>
      <w:tr>
        <w:tc>
          <w:tcPr>
            <w:tcW w:type="dxa" w:w="26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DFM-MQ vs Factores trim.</w:t>
            </w:r>
          </w:p>
        </w:tc>
        <w:tc>
          <w:tcPr>
            <w:tcW w:type="dxa" w:w="21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2.35 / 0.019</w:t>
            </w:r>
          </w:p>
        </w:tc>
        <w:tc>
          <w:tcPr>
            <w:tcW w:type="dxa" w:w="18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2.50 / 0.013</w:t>
            </w:r>
          </w:p>
        </w:tc>
        <w:tc>
          <w:tcPr>
            <w:tcW w:type="dxa" w:w="25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Significativo en ambas muestras</w:t>
            </w:r>
          </w:p>
        </w:tc>
      </w:tr>
      <w:tr>
        <w:tc>
          <w:tcPr>
            <w:tcW w:type="dxa" w:w="26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DFM-MQ vs Puente</w:t>
            </w:r>
          </w:p>
        </w:tc>
        <w:tc>
          <w:tcPr>
            <w:tcW w:type="dxa" w:w="21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1.53 / 0.126</w:t>
            </w:r>
          </w:p>
        </w:tc>
        <w:tc>
          <w:tcPr>
            <w:tcW w:type="dxa" w:w="18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w:t>
            </w:r>
          </w:p>
        </w:tc>
        <w:tc>
          <w:tcPr>
            <w:tcW w:type="dxa" w:w="25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Favorable, no significativo</w:t>
            </w:r>
          </w:p>
        </w:tc>
      </w:tr>
      <w:tr>
        <w:tc>
          <w:tcPr>
            <w:tcW w:type="dxa" w:w="26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Factores trim. vs AR(1)</w:t>
            </w:r>
          </w:p>
        </w:tc>
        <w:tc>
          <w:tcPr>
            <w:tcW w:type="dxa" w:w="21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1.35 / 0.178</w:t>
            </w:r>
          </w:p>
        </w:tc>
        <w:tc>
          <w:tcPr>
            <w:tcW w:type="dxa" w:w="18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0.28 / 0.781</w:t>
            </w:r>
          </w:p>
        </w:tc>
        <w:tc>
          <w:tcPr>
            <w:tcW w:type="dxa" w:w="25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No significativo</w:t>
            </w:r>
          </w:p>
        </w:tc>
      </w:tr>
      <w:tr>
        <w:tc>
          <w:tcPr>
            <w:tcW w:type="dxa" w:w="26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Puente vs AR(1)</w:t>
            </w:r>
          </w:p>
        </w:tc>
        <w:tc>
          <w:tcPr>
            <w:tcW w:type="dxa" w:w="21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1.41 / 0.157</w:t>
            </w:r>
          </w:p>
        </w:tc>
        <w:tc>
          <w:tcPr>
            <w:tcW w:type="dxa" w:w="18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1.58 / 0.113</w:t>
            </w:r>
          </w:p>
        </w:tc>
        <w:tc>
          <w:tcPr>
            <w:tcW w:type="dxa" w:w="25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No significativo</w:t>
            </w:r>
          </w:p>
        </w:tc>
      </w:tr>
    </w:tbl>
    <w:p>
      <w:pPr>
        <w:spacing w:after="120" w:line="280"/>
        <w:jc w:val="both"/>
      </w:pPr>
      <w:r>
        <w:rPr>
          <w:rFonts w:ascii="Calibri" w:cs="Calibri" w:eastAsia="Calibri" w:hAnsi="Calibri"/>
          <w:sz w:val="21"/>
          <w:szCs w:val="21"/>
        </w:rPr>
        <w:t xml:space="preserve">Dos lecturas centrales para el comité. Primero: </w:t>
      </w:r>
      <w:r>
        <w:rPr>
          <w:rFonts w:ascii="Calibri" w:cs="Calibri" w:eastAsia="Calibri" w:hAnsi="Calibri"/>
          <w:b/>
          <w:bCs/>
          <w:sz w:val="21"/>
          <w:szCs w:val="21"/>
        </w:rPr>
        <w:t xml:space="preserve">el DFM-MQ es el único modelo que supera al benchmark AR(1) en magnitud con significancia estadística</w:t>
      </w:r>
      <w:r>
        <w:rPr>
          <w:rFonts w:ascii="Calibri" w:cs="Calibri" w:eastAsia="Calibri" w:hAnsi="Calibri"/>
          <w:sz w:val="21"/>
          <w:szCs w:val="21"/>
        </w:rPr>
        <w:t xml:space="preserve"> (p=0.015; la versión condicional del test arroja p=0.004). Segundo: el modelo de factores trimestral, evaluado en régimen normal, no supera al benchmark (p=0.78) — toda su ventaja aparente provenía del episodio 2020. La mejora del DFM-MQ sobre su antecesor es directa y estadísticamente significativa en ambas muestras.</w:t>
      </w:r>
    </w:p>
    <w:p>
      <w:pPr>
        <w:pStyle w:val="Heading2"/>
        <w:spacing w:after="80" w:before="200"/>
      </w:pPr>
      <w:r>
        <w:rPr>
          <w:rFonts w:ascii="Calibri" w:cs="Calibri" w:eastAsia="Calibri" w:hAnsi="Calibri"/>
          <w:b/>
          <w:bCs/>
          <w:color w:val="2E75B6"/>
          <w:sz w:val="23"/>
          <w:szCs w:val="23"/>
        </w:rPr>
        <w:t xml:space="preserve">3. Diagnósticos internos del modelo</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3900"/>
        <w:gridCol w:w="1400"/>
        <w:gridCol w:w="3726"/>
      </w:tblGrid>
      <w:tr>
        <w:trPr>
          <w:tblHeader/>
        </w:trPr>
        <w:tc>
          <w:tcPr>
            <w:tcW w:type="dxa" w:w="3900"/>
            <w:shd w:fill="2E75B6" w:val="clear"/>
            <w:tcMar>
              <w:top w:type="dxa" w:w="60"/>
              <w:left w:type="dxa" w:w="80"/>
              <w:bottom w:type="dxa" w:w="60"/>
              <w:right w:type="dxa" w:w="80"/>
            </w:tcMar>
          </w:tcPr>
          <w:p>
            <w:pPr>
              <w:jc w:val="left"/>
            </w:pPr>
            <w:r>
              <w:rPr>
                <w:rFonts w:ascii="Calibri" w:cs="Calibri" w:eastAsia="Calibri" w:hAnsi="Calibri"/>
                <w:b/>
                <w:bCs/>
                <w:color w:val="FFFFFF"/>
                <w:sz w:val="19"/>
                <w:szCs w:val="19"/>
              </w:rPr>
              <w:t xml:space="preserve">Diagnóstico</w:t>
            </w:r>
          </w:p>
        </w:tc>
        <w:tc>
          <w:tcPr>
            <w:tcW w:type="dxa" w:w="14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Valor</w:t>
            </w:r>
          </w:p>
        </w:tc>
        <w:tc>
          <w:tcPr>
            <w:tcW w:type="dxa" w:w="3726"/>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Lectura</w:t>
            </w:r>
          </w:p>
        </w:tc>
      </w:tr>
      <w:tr>
        <w:tc>
          <w:tcPr>
            <w:tcW w:type="dxa" w:w="39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R² in-sample del PBI sobre factores agregados</w:t>
            </w:r>
          </w:p>
        </w:tc>
        <w:tc>
          <w:tcPr>
            <w:tcW w:type="dxa" w:w="14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0.869</w:t>
            </w:r>
          </w:p>
        </w:tc>
        <w:tc>
          <w:tcPr>
            <w:tcW w:type="dxa" w:w="37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Los factores explican el grueso de la variación del producto</w:t>
            </w:r>
          </w:p>
        </w:tc>
      </w:tr>
      <w:tr>
        <w:tc>
          <w:tcPr>
            <w:tcW w:type="dxa" w:w="39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Correlación in-sample nowcast vs. observado</w:t>
            </w:r>
          </w:p>
        </w:tc>
        <w:tc>
          <w:tcPr>
            <w:tcW w:type="dxa" w:w="14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0.929</w:t>
            </w:r>
          </w:p>
        </w:tc>
        <w:tc>
          <w:tcPr>
            <w:tcW w:type="dxa" w:w="37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Ajuste alto tras la corrección del tratamiento COVID</w:t>
            </w:r>
          </w:p>
        </w:tc>
      </w:tr>
      <w:tr>
        <w:tc>
          <w:tcPr>
            <w:tcW w:type="dxa" w:w="39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Relación de varianzas (predicho / observado)</w:t>
            </w:r>
          </w:p>
        </w:tc>
        <w:tc>
          <w:tcPr>
            <w:tcW w:type="dxa" w:w="14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0.78</w:t>
            </w:r>
          </w:p>
        </w:tc>
        <w:tc>
          <w:tcPr>
            <w:tcW w:type="dxa" w:w="37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Atenuación moderada, propia de un filtro de señal</w:t>
            </w:r>
          </w:p>
        </w:tc>
      </w:tr>
      <w:tr>
        <w:tc>
          <w:tcPr>
            <w:tcW w:type="dxa" w:w="39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Varianza del panel explicada (3 factores)</w:t>
            </w:r>
          </w:p>
        </w:tc>
        <w:tc>
          <w:tcPr>
            <w:tcW w:type="dxa" w:w="14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40.1%</w:t>
            </w:r>
          </w:p>
        </w:tc>
        <w:tc>
          <w:tcPr>
            <w:tcW w:type="dxa" w:w="37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Consistente con un panel heterogéneo de 25 series</w:t>
            </w:r>
          </w:p>
        </w:tc>
      </w:tr>
      <w:tr>
        <w:tc>
          <w:tcPr>
            <w:tcW w:type="dxa" w:w="39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Dimensión del vector de estado</w:t>
            </w:r>
          </w:p>
        </w:tc>
        <w:tc>
          <w:tcPr>
            <w:tcW w:type="dxa" w:w="14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15</w:t>
            </w:r>
          </w:p>
        </w:tc>
        <w:tc>
          <w:tcPr>
            <w:tcW w:type="dxa" w:w="37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3 factores × 5 rezagos (agregación Mariano-Murasawa)</w:t>
            </w:r>
          </w:p>
        </w:tc>
      </w:tr>
      <w:tr>
        <w:tc>
          <w:tcPr>
            <w:tcW w:type="dxa" w:w="39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Trimestres out-of-sample evaluados</w:t>
            </w:r>
          </w:p>
        </w:tc>
        <w:tc>
          <w:tcPr>
            <w:tcW w:type="dxa" w:w="14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47</w:t>
            </w:r>
          </w:p>
        </w:tc>
        <w:tc>
          <w:tcPr>
            <w:tcW w:type="dxa" w:w="37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Junio 2014 – diciembre 2025</w:t>
            </w:r>
          </w:p>
        </w:tc>
      </w:tr>
    </w:tbl>
    <w:p>
      <w:pPr>
        <w:pStyle w:val="Heading2"/>
        <w:spacing w:after="80" w:before="200"/>
      </w:pPr>
      <w:r>
        <w:rPr>
          <w:rFonts w:ascii="Calibri" w:cs="Calibri" w:eastAsia="Calibri" w:hAnsi="Calibri"/>
          <w:b/>
          <w:bCs/>
          <w:color w:val="2E75B6"/>
          <w:sz w:val="23"/>
          <w:szCs w:val="23"/>
        </w:rPr>
        <w:t xml:space="preserve">4. Proyección vigente</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1400"/>
        <w:gridCol w:w="1300"/>
        <w:gridCol w:w="2200"/>
        <w:gridCol w:w="1500"/>
        <w:gridCol w:w="1400"/>
        <w:gridCol w:w="2226"/>
      </w:tblGrid>
      <w:tr>
        <w:trPr>
          <w:tblHeader/>
        </w:trPr>
        <w:tc>
          <w:tcPr>
            <w:tcW w:type="dxa" w:w="1400"/>
            <w:shd w:fill="2E75B6" w:val="clear"/>
            <w:tcMar>
              <w:top w:type="dxa" w:w="60"/>
              <w:left w:type="dxa" w:w="80"/>
              <w:bottom w:type="dxa" w:w="60"/>
              <w:right w:type="dxa" w:w="80"/>
            </w:tcMar>
          </w:tcPr>
          <w:p>
            <w:pPr>
              <w:jc w:val="left"/>
            </w:pPr>
            <w:r>
              <w:rPr>
                <w:rFonts w:ascii="Calibri" w:cs="Calibri" w:eastAsia="Calibri" w:hAnsi="Calibri"/>
                <w:b/>
                <w:bCs/>
                <w:color w:val="FFFFFF"/>
                <w:sz w:val="19"/>
                <w:szCs w:val="19"/>
              </w:rPr>
              <w:t xml:space="preserve">Trimestre</w:t>
            </w:r>
          </w:p>
        </w:tc>
        <w:tc>
          <w:tcPr>
            <w:tcW w:type="dxa" w:w="13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Nivel q/q</w:t>
            </w:r>
          </w:p>
        </w:tc>
        <w:tc>
          <w:tcPr>
            <w:tcW w:type="dxa" w:w="22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IC 95%</w:t>
            </w:r>
          </w:p>
        </w:tc>
        <w:tc>
          <w:tcPr>
            <w:tcW w:type="dxa" w:w="15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P(expansión)</w:t>
            </w:r>
          </w:p>
        </w:tc>
        <w:tc>
          <w:tcPr>
            <w:tcW w:type="dxa" w:w="1400"/>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Señal</w:t>
            </w:r>
          </w:p>
        </w:tc>
        <w:tc>
          <w:tcPr>
            <w:tcW w:type="dxa" w:w="2226"/>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Tipo</w:t>
            </w:r>
          </w:p>
        </w:tc>
      </w:tr>
      <w:tr>
        <w:tc>
          <w:tcPr>
            <w:tcW w:type="dxa" w:w="1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2026 Q1</w:t>
            </w:r>
          </w:p>
        </w:tc>
        <w:tc>
          <w:tcPr>
            <w:tcW w:type="dxa" w:w="13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+0.64%</w:t>
            </w:r>
          </w:p>
        </w:tc>
        <w:tc>
          <w:tcPr>
            <w:tcW w:type="dxa" w:w="22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[−2.27%, +3.56%]</w:t>
            </w:r>
          </w:p>
        </w:tc>
        <w:tc>
          <w:tcPr>
            <w:tcW w:type="dxa" w:w="15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67%</w:t>
            </w:r>
          </w:p>
        </w:tc>
        <w:tc>
          <w:tcPr>
            <w:tcW w:type="dxa" w:w="14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Expansión</w:t>
            </w:r>
          </w:p>
        </w:tc>
        <w:tc>
          <w:tcPr>
            <w:tcW w:type="dxa" w:w="22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Nowcast (3/3 meses)</w:t>
            </w:r>
          </w:p>
        </w:tc>
      </w:tr>
      <w:tr>
        <w:tc>
          <w:tcPr>
            <w:tcW w:type="dxa" w:w="1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2026 Q2</w:t>
            </w:r>
          </w:p>
        </w:tc>
        <w:tc>
          <w:tcPr>
            <w:tcW w:type="dxa" w:w="13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−0.07%</w:t>
            </w:r>
          </w:p>
        </w:tc>
        <w:tc>
          <w:tcPr>
            <w:tcW w:type="dxa" w:w="22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[−3.07%, +2.93%]</w:t>
            </w:r>
          </w:p>
        </w:tc>
        <w:tc>
          <w:tcPr>
            <w:tcW w:type="dxa" w:w="15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48%</w:t>
            </w:r>
          </w:p>
        </w:tc>
        <w:tc>
          <w:tcPr>
            <w:tcW w:type="dxa" w:w="14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Contracción</w:t>
            </w:r>
          </w:p>
        </w:tc>
        <w:tc>
          <w:tcPr>
            <w:tcW w:type="dxa" w:w="22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Nowcast (2/3 meses)</w:t>
            </w:r>
          </w:p>
        </w:tc>
      </w:tr>
      <w:tr>
        <w:tc>
          <w:tcPr>
            <w:tcW w:type="dxa" w:w="1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2026 Q3</w:t>
            </w:r>
          </w:p>
        </w:tc>
        <w:tc>
          <w:tcPr>
            <w:tcW w:type="dxa" w:w="13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+0.55%</w:t>
            </w:r>
          </w:p>
        </w:tc>
        <w:tc>
          <w:tcPr>
            <w:tcW w:type="dxa" w:w="22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[−3.51%, +4.61%]</w:t>
            </w:r>
          </w:p>
        </w:tc>
        <w:tc>
          <w:tcPr>
            <w:tcW w:type="dxa" w:w="15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60%</w:t>
            </w:r>
          </w:p>
        </w:tc>
        <w:tc>
          <w:tcPr>
            <w:tcW w:type="dxa" w:w="1400"/>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Expansión</w:t>
            </w:r>
          </w:p>
        </w:tc>
        <w:tc>
          <w:tcPr>
            <w:tcW w:type="dxa" w:w="22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Forecast</w:t>
            </w:r>
          </w:p>
        </w:tc>
      </w:tr>
      <w:tr>
        <w:tc>
          <w:tcPr>
            <w:tcW w:type="dxa" w:w="1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2026 Q4</w:t>
            </w:r>
          </w:p>
        </w:tc>
        <w:tc>
          <w:tcPr>
            <w:tcW w:type="dxa" w:w="13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+0.61%</w:t>
            </w:r>
          </w:p>
        </w:tc>
        <w:tc>
          <w:tcPr>
            <w:tcW w:type="dxa" w:w="22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[−3.52%, +4.74%]</w:t>
            </w:r>
          </w:p>
        </w:tc>
        <w:tc>
          <w:tcPr>
            <w:tcW w:type="dxa" w:w="15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61%</w:t>
            </w:r>
          </w:p>
        </w:tc>
        <w:tc>
          <w:tcPr>
            <w:tcW w:type="dxa" w:w="1400"/>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Expansión</w:t>
            </w:r>
          </w:p>
        </w:tc>
        <w:tc>
          <w:tcPr>
            <w:tcW w:type="dxa" w:w="22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Forecast</w:t>
            </w:r>
          </w:p>
        </w:tc>
      </w:tr>
    </w:tbl>
    <w:p>
      <w:pPr>
        <w:spacing w:after="120" w:line="280"/>
        <w:jc w:val="both"/>
      </w:pPr>
      <w:r>
        <w:rPr>
          <w:rFonts w:ascii="Calibri" w:cs="Calibri" w:eastAsia="Calibri" w:hAnsi="Calibri"/>
          <w:sz w:val="21"/>
          <w:szCs w:val="21"/>
        </w:rPr>
        <w:t xml:space="preserve">Los dos primeros trimestres son nowcasts respaldados por datos mensuales efectivamente disponibles. Q3 y Q4 son proyecciones con factores extrapolados: su señal direccional es informativa, su nivel puntual no debe utilizarse.</w:t>
      </w:r>
    </w:p>
    <w:p>
      <w:r>
        <w:br w:type="page"/>
      </w:r>
    </w:p>
    <w:p>
      <w:pPr>
        <w:pStyle w:val="Heading1"/>
        <w:spacing w:after="130" w:before="300"/>
      </w:pPr>
      <w:r>
        <w:rPr>
          <w:rFonts w:ascii="Calibri" w:cs="Calibri" w:eastAsia="Calibri" w:hAnsi="Calibri"/>
          <w:b/>
          <w:bCs/>
          <w:color w:val="1F4E79"/>
          <w:sz w:val="28"/>
          <w:szCs w:val="28"/>
        </w:rPr>
        <w:t xml:space="preserve">Parte V — Objeciones anticipadas y respuestas</w:t>
      </w:r>
    </w:p>
    <w:p>
      <w:pPr>
        <w:spacing w:after="60" w:before="140"/>
      </w:pPr>
      <w:r>
        <w:rPr>
          <w:rFonts w:ascii="Calibri" w:cs="Calibri" w:eastAsia="Calibri" w:hAnsi="Calibri"/>
          <w:b/>
          <w:bCs/>
          <w:color w:val="333333"/>
          <w:sz w:val="21"/>
          <w:szCs w:val="21"/>
        </w:rPr>
        <w:t xml:space="preserve">«El modelo se apoya en EMAE, que es prácticamente el PBI mensual.»</w:t>
      </w:r>
    </w:p>
    <w:p>
      <w:pPr>
        <w:spacing w:after="120" w:line="280"/>
        <w:jc w:val="both"/>
      </w:pPr>
      <w:r>
        <w:rPr>
          <w:rFonts w:ascii="Calibri" w:cs="Calibri" w:eastAsia="Calibri" w:hAnsi="Calibri"/>
          <w:sz w:val="21"/>
          <w:szCs w:val="21"/>
        </w:rPr>
        <w:t xml:space="preserve">EMAE integra el panel, pero con su rezago real de dos meses. En el trimestre corriente no está disponible y el filtro la interpola a través del factor común. La performance reportada no la utiliza contemporáneamente. Este es precisamente el motivo por el cual el modelo trimestral anterior debía excluirla y el DFM-MQ no.</w:t>
      </w:r>
    </w:p>
    <w:p>
      <w:pPr>
        <w:spacing w:after="60" w:before="140"/>
      </w:pPr>
      <w:r>
        <w:rPr>
          <w:rFonts w:ascii="Calibri" w:cs="Calibri" w:eastAsia="Calibri" w:hAnsi="Calibri"/>
          <w:b/>
          <w:bCs/>
          <w:color w:val="333333"/>
          <w:sz w:val="21"/>
          <w:szCs w:val="21"/>
        </w:rPr>
        <w:t xml:space="preserve">«El período out-of-sample es corto.»</w:t>
      </w:r>
    </w:p>
    <w:p>
      <w:pPr>
        <w:spacing w:after="120" w:line="280"/>
        <w:jc w:val="both"/>
      </w:pPr>
      <w:r>
        <w:rPr>
          <w:rFonts w:ascii="Calibri" w:cs="Calibri" w:eastAsia="Calibri" w:hAnsi="Calibri"/>
          <w:sz w:val="21"/>
          <w:szCs w:val="21"/>
        </w:rPr>
        <w:t xml:space="preserve">Correcto: 45 a 47 trimestres son pocos para los asintóticos de los tests. Esa limitación es la razón por la cual ningún modelo alcanzaba significancia en magnitud hasta ahora, y también la razón por la cual el resultado del DFM-MQ es relevante: alcanza significancia </w:t>
      </w:r>
      <w:r>
        <w:rPr>
          <w:rFonts w:ascii="Calibri" w:cs="Calibri" w:eastAsia="Calibri" w:hAnsi="Calibri"/>
          <w:i/>
          <w:iCs/>
          <w:sz w:val="21"/>
          <w:szCs w:val="21"/>
        </w:rPr>
        <w:t xml:space="preserve">a pesar</w:t>
      </w:r>
      <w:r>
        <w:rPr>
          <w:rFonts w:ascii="Calibri" w:cs="Calibri" w:eastAsia="Calibri" w:hAnsi="Calibri"/>
          <w:sz w:val="21"/>
          <w:szCs w:val="21"/>
        </w:rPr>
        <w:t xml:space="preserve"> de la muestra corta.</w:t>
      </w:r>
    </w:p>
    <w:p>
      <w:pPr>
        <w:spacing w:after="60" w:before="140"/>
      </w:pPr>
      <w:r>
        <w:rPr>
          <w:rFonts w:ascii="Calibri" w:cs="Calibri" w:eastAsia="Calibri" w:hAnsi="Calibri"/>
          <w:b/>
          <w:bCs/>
          <w:color w:val="333333"/>
          <w:sz w:val="21"/>
          <w:szCs w:val="21"/>
        </w:rPr>
        <w:t xml:space="preserve">«¿No es un modelo sobreajustado, con tantos parámetros?»</w:t>
      </w:r>
    </w:p>
    <w:p>
      <w:pPr>
        <w:spacing w:after="120" w:line="280"/>
        <w:jc w:val="both"/>
      </w:pPr>
      <w:r>
        <w:rPr>
          <w:rFonts w:ascii="Calibri" w:cs="Calibri" w:eastAsia="Calibri" w:hAnsi="Calibri"/>
          <w:sz w:val="21"/>
          <w:szCs w:val="21"/>
        </w:rPr>
        <w:t xml:space="preserve">La parametrización es deliberadamente parsimoniosa: 3 factores y un VAR(1). La totalidad de los parámetros se re-estima dentro de cada ventana con información pasada exclusivamente, y toda la evaluación es out-of-sample. No hay ningún resultado in-sample en las cifras presentadas.</w:t>
      </w:r>
    </w:p>
    <w:p>
      <w:pPr>
        <w:spacing w:after="60" w:before="140"/>
      </w:pPr>
      <w:r>
        <w:rPr>
          <w:rFonts w:ascii="Calibri" w:cs="Calibri" w:eastAsia="Calibri" w:hAnsi="Calibri"/>
          <w:b/>
          <w:bCs/>
          <w:color w:val="333333"/>
          <w:sz w:val="21"/>
          <w:szCs w:val="21"/>
        </w:rPr>
        <w:t xml:space="preserve">«El acierto direccional del 75% parece alto.»</w:t>
      </w:r>
    </w:p>
    <w:p>
      <w:pPr>
        <w:spacing w:after="120" w:line="280"/>
        <w:jc w:val="both"/>
      </w:pPr>
      <w:r>
        <w:rPr>
          <w:rFonts w:ascii="Calibri" w:cs="Calibri" w:eastAsia="Calibri" w:hAnsi="Calibri"/>
          <w:sz w:val="21"/>
          <w:szCs w:val="21"/>
        </w:rPr>
        <w:t xml:space="preserve">Por eso se reporta el test de Pesaran-Timmermann junto al porcentaje. El AR(1) alcanza 62% sin capacidad real alguna (p=0.31), lo que muestra que el porcentaje aislado es engañoso. El 75.6% del DFM-MQ tiene p=0.0006, es decir, capacidad direccional genuina.</w:t>
      </w:r>
    </w:p>
    <w:p>
      <w:pPr>
        <w:spacing w:after="60" w:before="140"/>
      </w:pPr>
      <w:r>
        <w:rPr>
          <w:rFonts w:ascii="Calibri" w:cs="Calibri" w:eastAsia="Calibri" w:hAnsi="Calibri"/>
          <w:b/>
          <w:bCs/>
          <w:color w:val="333333"/>
          <w:sz w:val="21"/>
          <w:szCs w:val="21"/>
        </w:rPr>
        <w:t xml:space="preserve">«¿Por qué excluir 2020 de los tests?»</w:t>
      </w:r>
    </w:p>
    <w:p>
      <w:pPr>
        <w:spacing w:after="120" w:line="280"/>
        <w:jc w:val="both"/>
      </w:pPr>
      <w:r>
        <w:rPr>
          <w:rFonts w:ascii="Calibri" w:cs="Calibri" w:eastAsia="Calibri" w:hAnsi="Calibri"/>
          <w:sz w:val="21"/>
          <w:szCs w:val="21"/>
        </w:rPr>
        <w:t xml:space="preserve">Se reportan ambas muestras. La exclusión no busca favorecer al modelo —el DFM-MQ gana en las dos—, sino que responde a que el shock inflaba la varianza del diferencial de pérdida y anulaba la potencia del test para todos los modelos. La submuestra en régimen normal es además la operativamente relevante.</w:t>
      </w:r>
    </w:p>
    <w:p>
      <w:pPr>
        <w:pStyle w:val="Heading2"/>
        <w:spacing w:after="80" w:before="200"/>
      </w:pPr>
      <w:r>
        <w:rPr>
          <w:rFonts w:ascii="Calibri" w:cs="Calibri" w:eastAsia="Calibri" w:hAnsi="Calibri"/>
          <w:b/>
          <w:bCs/>
          <w:color w:val="2E75B6"/>
          <w:sz w:val="23"/>
          <w:szCs w:val="23"/>
        </w:rPr>
        <w:t xml:space="preserve">Limitaciones y condiciones de uso</w:t>
      </w:r>
    </w:p>
    <w:p>
      <w:pPr>
        <w:pStyle w:val="ListParagraph"/>
        <w:numPr>
          <w:ilvl w:val="0"/>
          <w:numId w:val="1"/>
        </w:numPr>
        <w:spacing w:after="80" w:line="272"/>
      </w:pPr>
      <w:r>
        <w:rPr>
          <w:rFonts w:ascii="Calibri" w:cs="Calibri" w:eastAsia="Calibri" w:hAnsi="Calibri"/>
          <w:b/>
          <w:bCs/>
          <w:sz w:val="21"/>
          <w:szCs w:val="21"/>
        </w:rPr>
        <w:t xml:space="preserve">Desestacionalización: </w:t>
      </w:r>
      <w:r>
        <w:rPr>
          <w:rFonts w:ascii="Calibri" w:cs="Calibri" w:eastAsia="Calibri" w:hAnsi="Calibri"/>
          <w:sz w:val="21"/>
          <w:szCs w:val="21"/>
        </w:rPr>
        <w:t xml:space="preserve">la base viene ajustada estacionalmente. Si el ajuste empleó un filtro de dos lados sobre toda la muestra, cada observación histórica incorpora información futura y el resultado out-of-sample resulta optimista. Esta limitación afecta por igual a todos los modelos evaluados y no la corrige ningún estimador: requiere trabajar con vintages reales y ajuste estacional de un lado.</w:t>
      </w:r>
    </w:p>
    <w:p>
      <w:pPr>
        <w:pStyle w:val="ListParagraph"/>
        <w:numPr>
          <w:ilvl w:val="0"/>
          <w:numId w:val="1"/>
        </w:numPr>
        <w:spacing w:after="80" w:line="272"/>
      </w:pPr>
      <w:r>
        <w:rPr>
          <w:rFonts w:ascii="Calibri" w:cs="Calibri" w:eastAsia="Calibri" w:hAnsi="Calibri"/>
          <w:b/>
          <w:bCs/>
          <w:sz w:val="21"/>
          <w:szCs w:val="21"/>
        </w:rPr>
        <w:t xml:space="preserve">Revisiones del dato objetivo: </w:t>
      </w:r>
      <w:r>
        <w:rPr>
          <w:rFonts w:ascii="Calibri" w:cs="Calibri" w:eastAsia="Calibri" w:hAnsi="Calibri"/>
          <w:sz w:val="21"/>
          <w:szCs w:val="21"/>
        </w:rPr>
        <w:t xml:space="preserve">el PBI se revisa, de modo que la evaluación persigue un blanco móvil.</w:t>
      </w:r>
    </w:p>
    <w:p>
      <w:pPr>
        <w:pStyle w:val="ListParagraph"/>
        <w:numPr>
          <w:ilvl w:val="0"/>
          <w:numId w:val="1"/>
        </w:numPr>
        <w:spacing w:after="80" w:line="272"/>
      </w:pPr>
      <w:r>
        <w:rPr>
          <w:rFonts w:ascii="Calibri" w:cs="Calibri" w:eastAsia="Calibri" w:hAnsi="Calibri"/>
          <w:b/>
          <w:bCs/>
          <w:sz w:val="21"/>
          <w:szCs w:val="21"/>
        </w:rPr>
        <w:t xml:space="preserve">Linealidad y estabilidad: </w:t>
      </w:r>
      <w:r>
        <w:rPr>
          <w:rFonts w:ascii="Calibri" w:cs="Calibri" w:eastAsia="Calibri" w:hAnsi="Calibri"/>
          <w:sz w:val="21"/>
          <w:szCs w:val="21"/>
        </w:rPr>
        <w:t xml:space="preserve">se suponen cargas estables. Los quiebres de régimen —frecuentes en la economía argentina— las alteran, y es en esos episodios donde el modelo es menos confiable.</w:t>
      </w:r>
    </w:p>
    <w:p>
      <w:pPr>
        <w:pStyle w:val="ListParagraph"/>
        <w:numPr>
          <w:ilvl w:val="0"/>
          <w:numId w:val="1"/>
        </w:numPr>
        <w:spacing w:after="80" w:line="272"/>
      </w:pPr>
      <w:r>
        <w:rPr>
          <w:rFonts w:ascii="Calibri" w:cs="Calibri" w:eastAsia="Calibri" w:hAnsi="Calibri"/>
          <w:b/>
          <w:bCs/>
          <w:sz w:val="21"/>
          <w:szCs w:val="21"/>
        </w:rPr>
        <w:t xml:space="preserve">Horizonte: </w:t>
      </w:r>
      <w:r>
        <w:rPr>
          <w:rFonts w:ascii="Calibri" w:cs="Calibri" w:eastAsia="Calibri" w:hAnsi="Calibri"/>
          <w:sz w:val="21"/>
          <w:szCs w:val="21"/>
        </w:rPr>
        <w:t xml:space="preserve">más allá del trimestre con datos mensuales, la extrapolación de factores es el eslabón más débil de la cadena; utilizar únicamente la señal direccional.</w:t>
      </w:r>
    </w:p>
    <w:p>
      <w:pPr>
        <w:spacing w:after="120" w:line="280"/>
        <w:jc w:val="both"/>
      </w:pPr>
      <w:r>
        <w:rPr>
          <w:rFonts w:ascii="Calibri" w:cs="Calibri" w:eastAsia="Calibri" w:hAnsi="Calibri"/>
          <w:b/>
          <w:bCs/>
          <w:sz w:val="21"/>
          <w:szCs w:val="21"/>
        </w:rPr>
        <w:t xml:space="preserve">Uso recomendado: </w:t>
      </w:r>
      <w:r>
        <w:rPr>
          <w:rFonts w:ascii="Calibri" w:cs="Calibri" w:eastAsia="Calibri" w:hAnsi="Calibri"/>
          <w:sz w:val="21"/>
          <w:szCs w:val="21"/>
        </w:rPr>
        <w:t xml:space="preserve">insumo de monitoreo del ciclo y señal direccional para decisiones de asignación táctica. La validación pendiente antes de cualquier automatización es el backtest de valor económico, es decir, verificar si la señal mejora una decisión concreta de portafolio y no solamente una métrica de error.</w:t>
      </w:r>
    </w:p>
    <w:p>
      <w:pPr>
        <w:pStyle w:val="Heading1"/>
        <w:spacing w:after="130" w:before="300"/>
      </w:pPr>
      <w:r>
        <w:rPr>
          <w:rFonts w:ascii="Calibri" w:cs="Calibri" w:eastAsia="Calibri" w:hAnsi="Calibri"/>
          <w:b/>
          <w:bCs/>
          <w:color w:val="1F4E79"/>
          <w:sz w:val="28"/>
          <w:szCs w:val="28"/>
        </w:rPr>
        <w:t xml:space="preserve">Bibliografía</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4400"/>
        <w:gridCol w:w="4626"/>
      </w:tblGrid>
      <w:tr>
        <w:trPr>
          <w:tblHeader/>
        </w:trPr>
        <w:tc>
          <w:tcPr>
            <w:tcW w:type="dxa" w:w="4400"/>
            <w:shd w:fill="2E75B6" w:val="clear"/>
            <w:tcMar>
              <w:top w:type="dxa" w:w="60"/>
              <w:left w:type="dxa" w:w="80"/>
              <w:bottom w:type="dxa" w:w="60"/>
              <w:right w:type="dxa" w:w="80"/>
            </w:tcMar>
          </w:tcPr>
          <w:p>
            <w:pPr>
              <w:jc w:val="left"/>
            </w:pPr>
            <w:r>
              <w:rPr>
                <w:rFonts w:ascii="Calibri" w:cs="Calibri" w:eastAsia="Calibri" w:hAnsi="Calibri"/>
                <w:b/>
                <w:bCs/>
                <w:color w:val="FFFFFF"/>
                <w:sz w:val="19"/>
                <w:szCs w:val="19"/>
              </w:rPr>
              <w:t xml:space="preserve">Referencia</w:t>
            </w:r>
          </w:p>
        </w:tc>
        <w:tc>
          <w:tcPr>
            <w:tcW w:type="dxa" w:w="4626"/>
            <w:shd w:fill="2E75B6"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Aporte</w:t>
            </w:r>
          </w:p>
        </w:tc>
      </w:tr>
      <w:tr>
        <w:tc>
          <w:tcPr>
            <w:tcW w:type="dxa" w:w="4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D'Amato, Garegnani y Blanco (2016), BCRA Ensayos Económicos 74</w:t>
            </w:r>
          </w:p>
        </w:tc>
        <w:tc>
          <w:tcPr>
            <w:tcW w:type="dxa" w:w="46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Trabajo base: factores y ecuaciones puente para el PBI argentino</w:t>
            </w:r>
          </w:p>
        </w:tc>
      </w:tr>
      <w:tr>
        <w:tc>
          <w:tcPr>
            <w:tcW w:type="dxa" w:w="4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Mariano y Murasawa (2003), J. Applied Econometrics 18</w:t>
            </w:r>
          </w:p>
        </w:tc>
        <w:tc>
          <w:tcPr>
            <w:tcW w:type="dxa" w:w="46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Restricción de agregación temporal de frecuencia mixta</w:t>
            </w:r>
          </w:p>
        </w:tc>
      </w:tr>
      <w:tr>
        <w:tc>
          <w:tcPr>
            <w:tcW w:type="dxa" w:w="4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Doz, Giannone y Reichlin (2011), J. Econometrics 164</w:t>
            </w:r>
          </w:p>
        </w:tc>
        <w:tc>
          <w:tcPr>
            <w:tcW w:type="dxa" w:w="46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Estimador en dos pasos para DFM aproximados</w:t>
            </w:r>
          </w:p>
        </w:tc>
      </w:tr>
      <w:tr>
        <w:tc>
          <w:tcPr>
            <w:tcW w:type="dxa" w:w="4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Doz, Giannone y Reichlin (2012), REStat 94</w:t>
            </w:r>
          </w:p>
        </w:tc>
        <w:tc>
          <w:tcPr>
            <w:tcW w:type="dxa" w:w="46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Cuasi-máxima verosimilitud y filtro de Kalman en DFM</w:t>
            </w:r>
          </w:p>
        </w:tc>
      </w:tr>
      <w:tr>
        <w:tc>
          <w:tcPr>
            <w:tcW w:type="dxa" w:w="4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Bańbura, Giannone y Reichlin (2011), Oxford Handbook</w:t>
            </w:r>
          </w:p>
        </w:tc>
        <w:tc>
          <w:tcPr>
            <w:tcW w:type="dxa" w:w="46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Nowcasting con manejo nativo del ragged edge</w:t>
            </w:r>
          </w:p>
        </w:tc>
      </w:tr>
      <w:tr>
        <w:tc>
          <w:tcPr>
            <w:tcW w:type="dxa" w:w="4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Bańbura y Modugno (2014), J. Applied Econometrics 29</w:t>
            </w:r>
          </w:p>
        </w:tc>
        <w:tc>
          <w:tcPr>
            <w:tcW w:type="dxa" w:w="46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Estimación con patrones arbitrarios de datos faltantes</w:t>
            </w:r>
          </w:p>
        </w:tc>
      </w:tr>
      <w:tr>
        <w:tc>
          <w:tcPr>
            <w:tcW w:type="dxa" w:w="4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Stock y Watson (2002), JBES 20</w:t>
            </w:r>
          </w:p>
        </w:tc>
        <w:tc>
          <w:tcPr>
            <w:tcW w:type="dxa" w:w="46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Factores por componentes principales</w:t>
            </w:r>
          </w:p>
        </w:tc>
      </w:tr>
      <w:tr>
        <w:tc>
          <w:tcPr>
            <w:tcW w:type="dxa" w:w="4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Chamberlain y Rothschild (1983), Econometrica 51</w:t>
            </w:r>
          </w:p>
        </w:tc>
        <w:tc>
          <w:tcPr>
            <w:tcW w:type="dxa" w:w="46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Estructura factorial aproximada</w:t>
            </w:r>
          </w:p>
        </w:tc>
      </w:tr>
      <w:tr>
        <w:tc>
          <w:tcPr>
            <w:tcW w:type="dxa" w:w="4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Bai y Ng (2002), Econometrica 70</w:t>
            </w:r>
          </w:p>
        </w:tc>
        <w:tc>
          <w:tcPr>
            <w:tcW w:type="dxa" w:w="46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Criterios para el número de factores</w:t>
            </w:r>
          </w:p>
        </w:tc>
      </w:tr>
      <w:tr>
        <w:tc>
          <w:tcPr>
            <w:tcW w:type="dxa" w:w="4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Giannone, Reichlin y Small (2008), J. Monetary Economics 55</w:t>
            </w:r>
          </w:p>
        </w:tc>
        <w:tc>
          <w:tcPr>
            <w:tcW w:type="dxa" w:w="46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Fundamento del nowcasting y flujo de datos en tiempo real</w:t>
            </w:r>
          </w:p>
        </w:tc>
      </w:tr>
      <w:tr>
        <w:tc>
          <w:tcPr>
            <w:tcW w:type="dxa" w:w="4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Camacho, Dal Bianco y Martinez-Martin (2015), EMFT 51</w:t>
            </w:r>
          </w:p>
        </w:tc>
        <w:tc>
          <w:tcPr>
            <w:tcW w:type="dxa" w:w="46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DFM de frecuencia mixta aplicado a la Argentina</w:t>
            </w:r>
          </w:p>
        </w:tc>
      </w:tr>
      <w:tr>
        <w:tc>
          <w:tcPr>
            <w:tcW w:type="dxa" w:w="4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Giacomini y White (2006), Econometrica 74</w:t>
            </w:r>
          </w:p>
        </w:tc>
        <w:tc>
          <w:tcPr>
            <w:tcW w:type="dxa" w:w="46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Test de capacidad predictiva condicional</w:t>
            </w:r>
          </w:p>
        </w:tc>
      </w:tr>
      <w:tr>
        <w:tc>
          <w:tcPr>
            <w:tcW w:type="dxa" w:w="4400"/>
            <w:shd w:fill="FFFFFF"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Pesaran y Timmermann (1992), JBES 10</w:t>
            </w:r>
          </w:p>
        </w:tc>
        <w:tc>
          <w:tcPr>
            <w:tcW w:type="dxa" w:w="4626"/>
            <w:shd w:fill="FFFFFF"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Test de capacidad predictiva direccional</w:t>
            </w:r>
          </w:p>
        </w:tc>
      </w:tr>
      <w:tr>
        <w:tc>
          <w:tcPr>
            <w:tcW w:type="dxa" w:w="4400"/>
            <w:shd w:fill="F2F2F2" w:val="clear"/>
            <w:tcMar>
              <w:top w:type="dxa" w:w="50"/>
              <w:left w:type="dxa" w:w="80"/>
              <w:bottom w:type="dxa" w:w="50"/>
              <w:right w:type="dxa" w:w="80"/>
            </w:tcMar>
          </w:tcPr>
          <w:p>
            <w:pPr>
              <w:jc w:val="left"/>
            </w:pPr>
            <w:r>
              <w:rPr>
                <w:rFonts w:ascii="Calibri" w:cs="Calibri" w:eastAsia="Calibri" w:hAnsi="Calibri"/>
                <w:b w:val="false"/>
                <w:bCs w:val="false"/>
                <w:sz w:val="19"/>
                <w:szCs w:val="19"/>
              </w:rPr>
              <w:t xml:space="preserve">Lenza y Primiceri (2022), J. Applied Econometrics 37</w:t>
            </w:r>
          </w:p>
        </w:tc>
        <w:tc>
          <w:tcPr>
            <w:tcW w:type="dxa" w:w="4626"/>
            <w:shd w:fill="F2F2F2" w:val="clear"/>
            <w:tcMar>
              <w:top w:type="dxa" w:w="50"/>
              <w:left w:type="dxa" w:w="80"/>
              <w:bottom w:type="dxa" w:w="50"/>
              <w:right w:type="dxa" w:w="80"/>
            </w:tcMar>
          </w:tcPr>
          <w:p>
            <w:pPr>
              <w:jc w:val="center"/>
            </w:pPr>
            <w:r>
              <w:rPr>
                <w:rFonts w:ascii="Calibri" w:cs="Calibri" w:eastAsia="Calibri" w:hAnsi="Calibri"/>
                <w:b w:val="false"/>
                <w:bCs w:val="false"/>
                <w:sz w:val="19"/>
                <w:szCs w:val="19"/>
              </w:rPr>
              <w:t xml:space="preserve">Tratamiento de outliers macroeconómicos extremos (COVID)</w:t>
            </w:r>
          </w:p>
        </w:tc>
      </w:tr>
    </w:tbl>
    <w:sectPr>
      <w:pgSz w:w="11906" w:h="16838"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Nowcasting PBI</dc:creator>
  <cp:lastModifiedBy>Un-named</cp:lastModifiedBy>
  <cp:revision>1</cp:revision>
  <dcterms:created xsi:type="dcterms:W3CDTF">2026-07-23T10:49:08.567Z</dcterms:created>
  <dcterms:modified xsi:type="dcterms:W3CDTF">2026-07-23T10:49:08.579Z</dcterms:modified>
</cp:coreProperties>
</file>

<file path=docProps/custom.xml><?xml version="1.0" encoding="utf-8"?>
<Properties xmlns="http://schemas.openxmlformats.org/officeDocument/2006/custom-properties" xmlns:vt="http://schemas.openxmlformats.org/officeDocument/2006/docPropsVTypes"/>
</file>