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2C34C" w14:textId="77777777" w:rsidR="000102E5" w:rsidRDefault="00175B34">
      <w:pPr>
        <w:pStyle w:val="Title"/>
      </w:pPr>
      <w:r>
        <w:t>From Descriptive Pilot to Novel Contribution: Prior Work, Research Gaps, and a Publication-Ready Outline for Foundry Agent-Optimizer Research</w:t>
      </w:r>
    </w:p>
    <w:p w14:paraId="5569553A" w14:textId="77777777" w:rsidR="000102E5" w:rsidRDefault="00175B34">
      <w:r>
        <w:t>Academic Grounding, Gap Analysis, and Revised Paper Plan</w:t>
      </w:r>
    </w:p>
    <w:p w14:paraId="73EF256F" w14:textId="77777777" w:rsidR="000102E5" w:rsidRDefault="00175B34">
      <w:r>
        <w:t>Prepared for: Ruairi O'Donnell, Cloud Solution Architecture, Microsoft</w:t>
      </w:r>
    </w:p>
    <w:p w14:paraId="6951F3F3" w14:textId="77777777" w:rsidR="000102E5" w:rsidRDefault="00175B34">
      <w:r>
        <w:fldChar w:fldCharType="begin"/>
      </w:r>
      <w:r>
        <w:instrText>TOC \o "1-3" \h \z \u</w:instrText>
      </w:r>
      <w:r>
        <w:fldChar w:fldCharType="separate"/>
      </w:r>
      <w:r>
        <w:t>Table of contents (updates when the document opens)</w:t>
      </w:r>
      <w:r>
        <w:fldChar w:fldCharType="end"/>
      </w:r>
    </w:p>
    <w:p w14:paraId="672A6659" w14:textId="77777777" w:rsidR="000102E5" w:rsidRDefault="00175B34">
      <w:r>
        <w:br w:type="page"/>
      </w:r>
    </w:p>
    <w:p w14:paraId="2664F4B3" w14:textId="77777777" w:rsidR="000102E5" w:rsidRDefault="00175B34">
      <w:pPr>
        <w:pStyle w:val="Heading1"/>
      </w:pPr>
      <w:r>
        <w:lastRenderedPageBreak/>
        <w:t>Executive Summary</w:t>
      </w:r>
    </w:p>
    <w:p w14:paraId="1DB08CDC" w14:textId="77777777" w:rsidR="000102E5" w:rsidRDefault="00175B34">
      <w:r>
        <w:t xml:space="preserve">The candidate-budget pilot plan already drafted, a three-level max_candidates sweep with a Friedman omnibus test and a Pareto quality-versus-cost plot, is methodologically sound but, on its own, is a descriptive sensitivity study. Reviewers at a competitive venue will ask the obvious next question: does this paper contribute a new method, or only a new measurement on one commercial platform. This document answers that question directly. It surveys the current prior-work landscape across five adjacent lines </w:t>
      </w:r>
      <w:r>
        <w:t>of research, identifies four specific, citable gaps none of them close, and proposes one concrete methodological innovation that converts the descriptive pilot into the empirical validation half of a two-part contribution. The innovation, an adaptive, uncertainty-calibrated policy for deciding how much optimizer budget is worth purchasing from a sealed, black-box commercial agent optimizer, borrows three techniques from adjacent fields that have not, to our knowledge, been combined or applied to this proble</w:t>
      </w:r>
      <w:r>
        <w:t>m before: parametric learning-curve extrapolation from classical hyperparameter optimization, sequential decision rules from multi-armed bandit and successive-halving literature, and conformal-prediction-calibrated uncertainty quantification for LLM-as-judge scores. Section 4 explains the mechanism and its novelty in detail. Section 5 restructures the paper outline around this contribution, and Section 6 revises the target-venue assessment upward accordingly, while Section 7 preserves the original descripti</w:t>
      </w:r>
      <w:r>
        <w:t>ve pilot as an explicit fallback so the project remains publishable even if the adaptive predictor underperforms.</w:t>
      </w:r>
    </w:p>
    <w:p w14:paraId="4F3C809B" w14:textId="77777777" w:rsidR="000102E5" w:rsidRDefault="00175B34">
      <w:pPr>
        <w:pStyle w:val="Heading1"/>
      </w:pPr>
      <w:r>
        <w:t>1. Prior Work Landscape</w:t>
      </w:r>
    </w:p>
    <w:p w14:paraId="143CEE1C" w14:textId="77777777" w:rsidR="000102E5" w:rsidRDefault="00175B34">
      <w:r>
        <w:t>Five lines of prior work bear directly on a study of Foundry's agent-optimizer candidate budget. Each is summarized here with its core contribution and, critically, what it does not address, since the gaps between these boundaries are exactly where new, defensible contributions live.</w:t>
      </w:r>
    </w:p>
    <w:p w14:paraId="423D96CB" w14:textId="77777777" w:rsidR="000102E5" w:rsidRDefault="00175B34">
      <w:pPr>
        <w:pStyle w:val="Heading2"/>
      </w:pPr>
      <w:r>
        <w:t>1.1 LLM-as-optimizer prompt search (the foundational line)</w:t>
      </w:r>
    </w:p>
    <w:p w14:paraId="17767C02" w14:textId="77777777" w:rsidR="000102E5" w:rsidRDefault="00175B34">
      <w:r>
        <w:t>Automatic Prompt Engineer, Zhou and colleagues, 2022, and Optimization by PROmpting, Yang and colleagues, 2023, established the pattern Foundry's optimizer follows: an optimization model proposes candidate instructions, an evaluation model scores them, and the best candidate is kept. Neither paper studies how performance changes as a function of the number of candidates generated per run beyond reporting that more iterations help on their own benchmarks; neither considers a commercial, closed-loop system wh</w:t>
      </w:r>
      <w:r>
        <w:t>ose internals cannot be inspected or modified.</w:t>
      </w:r>
    </w:p>
    <w:p w14:paraId="4422DCAA" w14:textId="77777777" w:rsidR="000102E5" w:rsidRDefault="00175B34">
      <w:pPr>
        <w:pStyle w:val="Heading2"/>
      </w:pPr>
      <w:r>
        <w:t>1.2 Multi-objective and Bayesian prompt optimization (internal-control methods)</w:t>
      </w:r>
    </w:p>
    <w:p w14:paraId="01AFE9B8" w14:textId="77777777" w:rsidR="000102E5" w:rsidRDefault="00175B34">
      <w:r>
        <w:t>Pareto Prompt Optimization, Zhao and colleagues, ICLR 2025, introduces ParetoPrompt, a reinforcement-learning method that uses dominance relationships between candidate prompts to explore an entire Pareto front of multiple task objectives without a predefined scalarization. A Bayesian approach for prompt optimization in pre-trained language models, Sabbatella and colleagues, 2023, and LLM Based Bayesian Optimization for Prompt Search, Ballew and colleagues, 2025, both use a Gaussian-process surrogate and an</w:t>
      </w:r>
      <w:r>
        <w:t xml:space="preserve"> acquisition function to guide which candidate tokens or prompts to try next. DSPy's MIPROv2 optimizer, Khattab and colleagues, goes further in production tooling: it already exposes num_trials, minibatch_size, and an auto mode, light, medium, or heavy, that internally trades off exploration against cost, and its own documentation reports that num_candidates and num_trials materially change results. Every one of these methods, without exception, requires access to and control over the optimizer's internal s</w:t>
      </w:r>
      <w:r>
        <w:t>earch loop, choosing which candidate to generate next, which token to try, which acquisition function to evaluate. This is the first and most important gap: none of them addresses the setting a Foundry customer actually faces, a sealed application programming interface where the only levers are external configuration fields and the only observable output is a final composite score per completed run.</w:t>
      </w:r>
    </w:p>
    <w:p w14:paraId="3B668EEB" w14:textId="77777777" w:rsidR="000102E5" w:rsidRDefault="00175B34">
      <w:pPr>
        <w:pStyle w:val="Heading2"/>
      </w:pPr>
      <w:r>
        <w:t>1.3 Classical hyperparameter-optimization budget allocation (a technique never ported to this domain)</w:t>
      </w:r>
    </w:p>
    <w:p w14:paraId="1A35ED2E" w14:textId="77777777" w:rsidR="000102E5" w:rsidRDefault="00175B34">
      <w:r>
        <w:t>A substantial classical machine-learning literature addresses exactly the question of how to allocate a limited evaluation budget across candidate configurations without wasting compute on ones unlikely to improve. Extrapolating Learning Curves of Deep Neural Networks, Domhan, Springenberg, and Hutter, ICML AutoML Workshop 2014, fits a weighted combination of parametric, saturating curve families to a partially observed learning curve and uses Bayesian model averaging to predict, with a calibrated confidenc</w:t>
      </w:r>
      <w:r>
        <w:t>e level, whether continuing a run is likely to beat the best result seen so far, enabling early termination that in their experiments reduced overall tuning runtime by a factor of 2.7. Freeze-thaw Bayesian optimization, Swersky, Snoek, and Adams, extends this to a fully sequential setting where partially trained configurations can be paused and resumed based on the same style of curve forecast. Successive halving and its bandit-theoretic generalizations allocate a fixed total budget across many candidate co</w:t>
      </w:r>
      <w:r>
        <w:t>nfigurations by repeatedly discarding the weaker half after each budget increment. None of this literature has been applied to automatic prompt or agent optimization. The reason is structural, not an oversight: these methods assume a continuous, cheaply observable partial signal, loss after each training epoch, which a prompt optimizer does not naturally provide. A Foundry optimization run returns exactly one number, the composite score, only once the entire run, potentially thirty to sixty minutes and real</w:t>
      </w:r>
      <w:r>
        <w:t xml:space="preserve"> money, has finished. Adapting curve-extrapolation and sequential-halving ideas to a setting where each observed point on the curve is an entire completed, non-resumable, black-box optimizer run rather than a training epoch is a genuine, non-trivial adaptation problem, and one that, to our knowledge, has not been attempted.</w:t>
      </w:r>
    </w:p>
    <w:p w14:paraId="242AD905" w14:textId="77777777" w:rsidR="000102E5" w:rsidRDefault="00175B34">
      <w:pPr>
        <w:pStyle w:val="Heading2"/>
      </w:pPr>
      <w:r>
        <w:t>1.4 LLM-as-judge reliability (a tool for calibration, not yet used for optimizer decisions)</w:t>
      </w:r>
    </w:p>
    <w:p w14:paraId="265E6F1C" w14:textId="77777777" w:rsidR="000102E5" w:rsidRDefault="00175B34">
      <w:r>
        <w:t>Judging LLM-as-a-Judge with MT-Bench and Chatbot Arena, Zheng and colleagues, 2023, established that judge models disagree with human raters and with themselves across repeated judgments, a concern this project's own reproducibility study already treats as a first-class risk. Analyzing Uncertainty of LLM-as-a-Judge: Interval Evaluations with Conformal Prediction, Sheng and colleagues, to appear at EMNLP 2025, goes a step further: it constructs statistically valid prediction intervals, with coverage guarante</w:t>
      </w:r>
      <w:r>
        <w:t>es, around a single LLM-judge score using conformal prediction, rather than treating the judge's point estimate as ground truth. This tool has been applied to natural-language-generation evaluation broadly. It has not, to our knowledge, been folded into a decision rule that an optimizer-purchasing practitioner would actually use, that is, a calibrated interval on whether spending more candidate budget will improve the outcome, as opposed to an interval on a single response's quality score.</w:t>
      </w:r>
    </w:p>
    <w:p w14:paraId="424C6DE0" w14:textId="77777777" w:rsidR="000102E5" w:rsidRDefault="00175B34">
      <w:pPr>
        <w:pStyle w:val="Heading2"/>
      </w:pPr>
      <w:r>
        <w:t>1.5 Agent-harness and coding-agent optimization (concurrent, complementary work)</w:t>
      </w:r>
    </w:p>
    <w:p w14:paraId="32CE60BF" w14:textId="77777777" w:rsidR="000102E5" w:rsidRDefault="00175B34">
      <w:r>
        <w:t>VeRO, A Harness for Agents to Optimize Agents, Ursekar and colleagues, 2026, and RLMOpt, Adaptive Prompt Optimization via Recursive Language Models, Bangalore Satheesha and colleagues, 2026, are the closest concurrent work by publication date. VeRO studies coding agents that edit and evaluate an entire agent's source code, treating budget-enforced evaluation as a systemic infrastructure concern for benchmarking optimizers against each other, but it does not study how to allocate that budget adaptively withi</w:t>
      </w:r>
      <w:r>
        <w:t>n a single optimizer, nor does it address text-only, closed-loop commercial optimizers such as Foundry's. RLMOpt makes the optimizer's own search policy language-model-driven, including a component that allocates evaluation budget, but critically, this control lives inside an optimizer the authors built and fully instrument; RLMOpt's own headline empirical finding, that optimization gains are determined primarily by the headroom available in the seed prompt rather than by the search budget, is an important,</w:t>
      </w:r>
      <w:r>
        <w:t xml:space="preserve"> very recent, and directly relevant result, but it was obtained with full internal access to the optimizer's loop, a condition that does not hold for a Foundry customer treating the optimizer as a sealed service.</w:t>
      </w:r>
    </w:p>
    <w:p w14:paraId="2C1E9029" w14:textId="77777777" w:rsidR="000102E5" w:rsidRDefault="00175B34">
      <w:pPr>
        <w:pStyle w:val="Heading2"/>
      </w:pPr>
      <w:r>
        <w:t>1.6 Summary table of the gap</w:t>
      </w:r>
    </w:p>
    <w:tbl>
      <w:tblPr>
        <w:tblStyle w:val="LightShading-Accent1"/>
        <w:tblW w:w="5000" w:type="pct"/>
        <w:tblLayout w:type="fixed"/>
        <w:tblLook w:val="04A0" w:firstRow="1" w:lastRow="0" w:firstColumn="1" w:lastColumn="0" w:noHBand="0" w:noVBand="1"/>
      </w:tblPr>
      <w:tblGrid>
        <w:gridCol w:w="2200"/>
        <w:gridCol w:w="2900"/>
        <w:gridCol w:w="3540"/>
      </w:tblGrid>
      <w:tr w:rsidR="000102E5" w14:paraId="08C65909" w14:textId="77777777" w:rsidTr="000102E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200" w:type="dxa"/>
          </w:tcPr>
          <w:p w14:paraId="7003F433" w14:textId="77777777" w:rsidR="000102E5" w:rsidRDefault="00175B34">
            <w:r>
              <w:t>Prior work line</w:t>
            </w:r>
          </w:p>
        </w:tc>
        <w:tc>
          <w:tcPr>
            <w:tcW w:w="2900" w:type="dxa"/>
          </w:tcPr>
          <w:p w14:paraId="669CD276" w14:textId="77777777" w:rsidR="000102E5" w:rsidRDefault="00175B34">
            <w:pPr>
              <w:cnfStyle w:val="100000000000" w:firstRow="1" w:lastRow="0" w:firstColumn="0" w:lastColumn="0" w:oddVBand="0" w:evenVBand="0" w:oddHBand="0" w:evenHBand="0" w:firstRowFirstColumn="0" w:firstRowLastColumn="0" w:lastRowFirstColumn="0" w:lastRowLastColumn="0"/>
            </w:pPr>
            <w:r>
              <w:t>Representative work</w:t>
            </w:r>
          </w:p>
        </w:tc>
        <w:tc>
          <w:tcPr>
            <w:tcW w:w="3540" w:type="dxa"/>
          </w:tcPr>
          <w:p w14:paraId="16A9DDE0" w14:textId="77777777" w:rsidR="000102E5" w:rsidRDefault="00175B34">
            <w:pPr>
              <w:cnfStyle w:val="100000000000" w:firstRow="1" w:lastRow="0" w:firstColumn="0" w:lastColumn="0" w:oddVBand="0" w:evenVBand="0" w:oddHBand="0" w:evenHBand="0" w:firstRowFirstColumn="0" w:firstRowLastColumn="0" w:lastRowFirstColumn="0" w:lastRowLastColumn="0"/>
            </w:pPr>
            <w:r>
              <w:t>What it does not address</w:t>
            </w:r>
          </w:p>
        </w:tc>
      </w:tr>
      <w:tr w:rsidR="000102E5" w14:paraId="1B7129DA" w14:textId="77777777" w:rsidTr="00010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59F6E2A5" w14:textId="77777777" w:rsidR="000102E5" w:rsidRDefault="00175B34">
            <w:r>
              <w:t>LLM-as-optimizer foundations</w:t>
            </w:r>
          </w:p>
        </w:tc>
        <w:tc>
          <w:tcPr>
            <w:tcW w:w="2900" w:type="dxa"/>
          </w:tcPr>
          <w:p w14:paraId="09BA9D8E" w14:textId="77777777" w:rsidR="000102E5" w:rsidRDefault="00175B34">
            <w:pPr>
              <w:cnfStyle w:val="000000100000" w:firstRow="0" w:lastRow="0" w:firstColumn="0" w:lastColumn="0" w:oddVBand="0" w:evenVBand="0" w:oddHBand="1" w:evenHBand="0" w:firstRowFirstColumn="0" w:firstRowLastColumn="0" w:lastRowFirstColumn="0" w:lastRowLastColumn="0"/>
            </w:pPr>
            <w:r>
              <w:t>APE (Zhou et al. 2022), OPRO (Yang et al. 2023)</w:t>
            </w:r>
          </w:p>
        </w:tc>
        <w:tc>
          <w:tcPr>
            <w:tcW w:w="3540" w:type="dxa"/>
          </w:tcPr>
          <w:p w14:paraId="7BB3F065" w14:textId="77777777" w:rsidR="000102E5" w:rsidRDefault="00175B34">
            <w:pPr>
              <w:cnfStyle w:val="000000100000" w:firstRow="0" w:lastRow="0" w:firstColumn="0" w:lastColumn="0" w:oddVBand="0" w:evenVBand="0" w:oddHBand="1" w:evenHBand="0" w:firstRowFirstColumn="0" w:firstRowLastColumn="0" w:lastRowFirstColumn="0" w:lastRowLastColumn="0"/>
            </w:pPr>
            <w:r>
              <w:t>Candidate-count sensitivity; closed commercial platforms</w:t>
            </w:r>
          </w:p>
        </w:tc>
      </w:tr>
      <w:tr w:rsidR="000102E5" w14:paraId="6C0EA73B" w14:textId="77777777" w:rsidTr="000102E5">
        <w:tc>
          <w:tcPr>
            <w:cnfStyle w:val="001000000000" w:firstRow="0" w:lastRow="0" w:firstColumn="1" w:lastColumn="0" w:oddVBand="0" w:evenVBand="0" w:oddHBand="0" w:evenHBand="0" w:firstRowFirstColumn="0" w:firstRowLastColumn="0" w:lastRowFirstColumn="0" w:lastRowLastColumn="0"/>
            <w:tcW w:w="2200" w:type="dxa"/>
          </w:tcPr>
          <w:p w14:paraId="1FC9F63D" w14:textId="77777777" w:rsidR="000102E5" w:rsidRDefault="00175B34">
            <w:r>
              <w:t>Multi-objective / Bayesian prompt search</w:t>
            </w:r>
          </w:p>
        </w:tc>
        <w:tc>
          <w:tcPr>
            <w:tcW w:w="2900" w:type="dxa"/>
          </w:tcPr>
          <w:p w14:paraId="183EBA67" w14:textId="77777777" w:rsidR="000102E5" w:rsidRDefault="00175B34">
            <w:pPr>
              <w:cnfStyle w:val="000000000000" w:firstRow="0" w:lastRow="0" w:firstColumn="0" w:lastColumn="0" w:oddVBand="0" w:evenVBand="0" w:oddHBand="0" w:evenHBand="0" w:firstRowFirstColumn="0" w:firstRowLastColumn="0" w:lastRowFirstColumn="0" w:lastRowLastColumn="0"/>
            </w:pPr>
            <w:r>
              <w:t>ParetoPrompt (Zhao et al., ICLR 2025), BO-LLM (Sabbatella et al. 2023; Ballew et al. 2025), MIPROv2</w:t>
            </w:r>
          </w:p>
        </w:tc>
        <w:tc>
          <w:tcPr>
            <w:tcW w:w="3540" w:type="dxa"/>
          </w:tcPr>
          <w:p w14:paraId="27225E6F" w14:textId="77777777" w:rsidR="000102E5" w:rsidRDefault="00175B34">
            <w:pPr>
              <w:cnfStyle w:val="000000000000" w:firstRow="0" w:lastRow="0" w:firstColumn="0" w:lastColumn="0" w:oddVBand="0" w:evenVBand="0" w:oddHBand="0" w:evenHBand="0" w:firstRowFirstColumn="0" w:firstRowLastColumn="0" w:lastRowFirstColumn="0" w:lastRowLastColumn="0"/>
            </w:pPr>
            <w:r>
              <w:t>All require internal control of the search loop; none targets a sealed external API</w:t>
            </w:r>
          </w:p>
        </w:tc>
      </w:tr>
      <w:tr w:rsidR="000102E5" w14:paraId="00357BE7" w14:textId="77777777" w:rsidTr="00010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4FB0BB81" w14:textId="77777777" w:rsidR="000102E5" w:rsidRDefault="00175B34">
            <w:r>
              <w:t>Classical HPO budget allocation</w:t>
            </w:r>
          </w:p>
        </w:tc>
        <w:tc>
          <w:tcPr>
            <w:tcW w:w="2900" w:type="dxa"/>
          </w:tcPr>
          <w:p w14:paraId="311BD64E" w14:textId="77777777" w:rsidR="000102E5" w:rsidRDefault="00175B34">
            <w:pPr>
              <w:cnfStyle w:val="000000100000" w:firstRow="0" w:lastRow="0" w:firstColumn="0" w:lastColumn="0" w:oddVBand="0" w:evenVBand="0" w:oddHBand="1" w:evenHBand="0" w:firstRowFirstColumn="0" w:firstRowLastColumn="0" w:lastRowFirstColumn="0" w:lastRowLastColumn="0"/>
            </w:pPr>
            <w:r>
              <w:t>Learning-curve extrapolation (Domhan et al. 2014), freeze-thaw BO (Swersky et al. 2014)</w:t>
            </w:r>
          </w:p>
        </w:tc>
        <w:tc>
          <w:tcPr>
            <w:tcW w:w="3540" w:type="dxa"/>
          </w:tcPr>
          <w:p w14:paraId="54FB3E48" w14:textId="77777777" w:rsidR="000102E5" w:rsidRDefault="00175B34">
            <w:pPr>
              <w:cnfStyle w:val="000000100000" w:firstRow="0" w:lastRow="0" w:firstColumn="0" w:lastColumn="0" w:oddVBand="0" w:evenVBand="0" w:oddHBand="1" w:evenHBand="0" w:firstRowFirstColumn="0" w:firstRowLastColumn="0" w:lastRowFirstColumn="0" w:lastRowLastColumn="0"/>
            </w:pPr>
            <w:r>
              <w:t>Never applied where each curve point is one costly, non-resumable black-box run</w:t>
            </w:r>
          </w:p>
        </w:tc>
      </w:tr>
      <w:tr w:rsidR="000102E5" w14:paraId="1CDBCF8B" w14:textId="77777777" w:rsidTr="000102E5">
        <w:tc>
          <w:tcPr>
            <w:cnfStyle w:val="001000000000" w:firstRow="0" w:lastRow="0" w:firstColumn="1" w:lastColumn="0" w:oddVBand="0" w:evenVBand="0" w:oddHBand="0" w:evenHBand="0" w:firstRowFirstColumn="0" w:firstRowLastColumn="0" w:lastRowFirstColumn="0" w:lastRowLastColumn="0"/>
            <w:tcW w:w="2200" w:type="dxa"/>
          </w:tcPr>
          <w:p w14:paraId="34BF4CA6" w14:textId="77777777" w:rsidR="000102E5" w:rsidRDefault="00175B34">
            <w:r>
              <w:t>LLM-judge reliability</w:t>
            </w:r>
          </w:p>
        </w:tc>
        <w:tc>
          <w:tcPr>
            <w:tcW w:w="2900" w:type="dxa"/>
          </w:tcPr>
          <w:p w14:paraId="0EC94AD6" w14:textId="77777777" w:rsidR="000102E5" w:rsidRDefault="00175B34">
            <w:pPr>
              <w:cnfStyle w:val="000000000000" w:firstRow="0" w:lastRow="0" w:firstColumn="0" w:lastColumn="0" w:oddVBand="0" w:evenVBand="0" w:oddHBand="0" w:evenHBand="0" w:firstRowFirstColumn="0" w:firstRowLastColumn="0" w:lastRowFirstColumn="0" w:lastRowLastColumn="0"/>
            </w:pPr>
            <w:r>
              <w:t>Zheng et al. 2023; conformal LLM-judge intervals (Sheng et al., EMNLP 2025)</w:t>
            </w:r>
          </w:p>
        </w:tc>
        <w:tc>
          <w:tcPr>
            <w:tcW w:w="3540" w:type="dxa"/>
          </w:tcPr>
          <w:p w14:paraId="45F843F1" w14:textId="77777777" w:rsidR="000102E5" w:rsidRDefault="00175B34">
            <w:pPr>
              <w:cnfStyle w:val="000000000000" w:firstRow="0" w:lastRow="0" w:firstColumn="0" w:lastColumn="0" w:oddVBand="0" w:evenVBand="0" w:oddHBand="0" w:evenHBand="0" w:firstRowFirstColumn="0" w:firstRowLastColumn="0" w:lastRowFirstColumn="0" w:lastRowLastColumn="0"/>
            </w:pPr>
            <w:r>
              <w:t>Calibrates a single score, not a purchase/stopping decision</w:t>
            </w:r>
          </w:p>
        </w:tc>
      </w:tr>
      <w:tr w:rsidR="000102E5" w14:paraId="379295AD" w14:textId="77777777" w:rsidTr="00010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37F26FE1" w14:textId="77777777" w:rsidR="000102E5" w:rsidRDefault="00175B34">
            <w:r>
              <w:t>Agent-harness / coding-agent optimization</w:t>
            </w:r>
          </w:p>
        </w:tc>
        <w:tc>
          <w:tcPr>
            <w:tcW w:w="2900" w:type="dxa"/>
          </w:tcPr>
          <w:p w14:paraId="07DFEBEF" w14:textId="77777777" w:rsidR="000102E5" w:rsidRDefault="00175B34">
            <w:pPr>
              <w:cnfStyle w:val="000000100000" w:firstRow="0" w:lastRow="0" w:firstColumn="0" w:lastColumn="0" w:oddVBand="0" w:evenVBand="0" w:oddHBand="1" w:evenHBand="0" w:firstRowFirstColumn="0" w:firstRowLastColumn="0" w:lastRowFirstColumn="0" w:lastRowLastColumn="0"/>
            </w:pPr>
            <w:r>
              <w:t>VeRO (Ursekar et al. 2026), RLMOpt (Bangalore Satheesha et al. 2026)</w:t>
            </w:r>
          </w:p>
        </w:tc>
        <w:tc>
          <w:tcPr>
            <w:tcW w:w="3540" w:type="dxa"/>
          </w:tcPr>
          <w:p w14:paraId="585BA9A3" w14:textId="77777777" w:rsidR="000102E5" w:rsidRDefault="00175B34">
            <w:pPr>
              <w:cnfStyle w:val="000000100000" w:firstRow="0" w:lastRow="0" w:firstColumn="0" w:lastColumn="0" w:oddVBand="0" w:evenVBand="0" w:oddHBand="1" w:evenHBand="0" w:firstRowFirstColumn="0" w:firstRowLastColumn="0" w:lastRowFirstColumn="0" w:lastRowLastColumn="0"/>
            </w:pPr>
            <w:r>
              <w:t>Budget control lives inside an instrumented optimizer the authors built, not a sealed SaaS product</w:t>
            </w:r>
          </w:p>
        </w:tc>
      </w:tr>
      <w:tr w:rsidR="000102E5" w14:paraId="633643F4" w14:textId="77777777" w:rsidTr="000102E5">
        <w:tc>
          <w:tcPr>
            <w:cnfStyle w:val="001000000000" w:firstRow="0" w:lastRow="0" w:firstColumn="1" w:lastColumn="0" w:oddVBand="0" w:evenVBand="0" w:oddHBand="0" w:evenHBand="0" w:firstRowFirstColumn="0" w:firstRowLastColumn="0" w:lastRowFirstColumn="0" w:lastRowLastColumn="0"/>
            <w:tcW w:w="2200" w:type="dxa"/>
          </w:tcPr>
          <w:p w14:paraId="3873108A" w14:textId="77777777" w:rsidR="000102E5" w:rsidRDefault="00175B34">
            <w:r>
              <w:t>This proposal (SCBA)</w:t>
            </w:r>
          </w:p>
        </w:tc>
        <w:tc>
          <w:tcPr>
            <w:tcW w:w="2900" w:type="dxa"/>
          </w:tcPr>
          <w:p w14:paraId="231B3534" w14:textId="77777777" w:rsidR="000102E5" w:rsidRDefault="00175B34">
            <w:pPr>
              <w:cnfStyle w:val="000000000000" w:firstRow="0" w:lastRow="0" w:firstColumn="0" w:lastColumn="0" w:oddVBand="0" w:evenVBand="0" w:oddHBand="0" w:evenHBand="0" w:firstRowFirstColumn="0" w:firstRowLastColumn="0" w:lastRowFirstColumn="0" w:lastRowLastColumn="0"/>
            </w:pPr>
            <w:r>
              <w:t>Combines rows 3 and 4, applied under the row-2 black-box constraint</w:t>
            </w:r>
          </w:p>
        </w:tc>
        <w:tc>
          <w:tcPr>
            <w:tcW w:w="3540" w:type="dxa"/>
          </w:tcPr>
          <w:p w14:paraId="6B6ABC11" w14:textId="77777777" w:rsidR="000102E5" w:rsidRDefault="00175B34">
            <w:pPr>
              <w:cnfStyle w:val="000000000000" w:firstRow="0" w:lastRow="0" w:firstColumn="0" w:lastColumn="0" w:oddVBand="0" w:evenVBand="0" w:oddHBand="0" w:evenHBand="0" w:firstRowFirstColumn="0" w:firstRowLastColumn="0" w:lastRowFirstColumn="0" w:lastRowLastColumn="0"/>
            </w:pPr>
            <w:r>
              <w:t>Closes Gaps 1 to 3 in Section 2</w:t>
            </w:r>
          </w:p>
        </w:tc>
      </w:tr>
    </w:tbl>
    <w:p w14:paraId="44067A8D" w14:textId="77777777" w:rsidR="000102E5" w:rsidRDefault="00175B34">
      <w:pPr>
        <w:pStyle w:val="Heading1"/>
      </w:pPr>
      <w:r>
        <w:t>2. Identified Research Gaps</w:t>
      </w:r>
    </w:p>
    <w:p w14:paraId="5B3053C1" w14:textId="77777777" w:rsidR="000102E5" w:rsidRDefault="00175B34">
      <w:r>
        <w:t>Four specific gaps emerge from the landscape above, stated precisely enough to be closed by a single, feasible study.</w:t>
      </w:r>
    </w:p>
    <w:p w14:paraId="4BBEE22D" w14:textId="77777777" w:rsidR="000102E5" w:rsidRDefault="00175B34">
      <w:pPr>
        <w:numPr>
          <w:ilvl w:val="0"/>
          <w:numId w:val="11"/>
        </w:numPr>
      </w:pPr>
      <w:r>
        <w:t>Gap 1, external control only. Every existing budget-sensitivity or budget-allocation method, Bayesian prompt search, MIPROv2, ParetoPrompt, RLMOpt, assumes the researcher can instrument or modify the optimizer's internal search loop. No published method addresses budget allocation for a sealed, external, commercial agent optimizer where the only controllable inputs are configuration fields such as max_candidates and the only observable output is a final score.</w:t>
      </w:r>
    </w:p>
    <w:p w14:paraId="037DF9D6" w14:textId="77777777" w:rsidR="000102E5" w:rsidRDefault="00175B34">
      <w:pPr>
        <w:numPr>
          <w:ilvl w:val="0"/>
          <w:numId w:val="11"/>
        </w:numPr>
      </w:pPr>
      <w:r>
        <w:t>Gap 2, run-level rather than epoch-level curves. Classical learning-curve extrapolation, Domhan and colleagues, and freeze-thaw Bayesian optimization, Swersky and colleagues, assume a cheap, continuous partial signal within a single run. A commercial prompt optimizer offers no such signal; each observed point on its performance-versus-budget curve is an entire completed, non-resumable, costly run. Whether curve-extrapolation techniques retain useful predictive power with only two to three such run-level obs</w:t>
      </w:r>
      <w:r>
        <w:t>ervations per curve, rather than dozens of cheap epoch-level ones, is an open and directly testable question.</w:t>
      </w:r>
    </w:p>
    <w:p w14:paraId="06E395B3" w14:textId="77777777" w:rsidR="000102E5" w:rsidRDefault="00175B34">
      <w:pPr>
        <w:numPr>
          <w:ilvl w:val="0"/>
          <w:numId w:val="11"/>
        </w:numPr>
      </w:pPr>
      <w:r>
        <w:t>Gap 3, no calibrated stopping rule tied to purchase decisions. Conformal-prediction methods for LLM-judge uncertainty, Sheng and colleagues, quantify uncertainty in a single evaluation score. No published work turns this into a sequential decision rule answering the practitioner's actual question, given the evidence so far, is it worth paying for the next, more expensive candidate-budget tier, with a stated, pre-registered coverage guarantee on that decision rather than on the underlying score alone.</w:t>
      </w:r>
    </w:p>
    <w:p w14:paraId="309CAB06" w14:textId="77777777" w:rsidR="000102E5" w:rsidRDefault="00175B34">
      <w:pPr>
        <w:numPr>
          <w:ilvl w:val="0"/>
          <w:numId w:val="11"/>
        </w:numPr>
      </w:pPr>
      <w:r>
        <w:t>Gap 4, no replication of the headroom-versus-budget finding under black-box constraints. RLMOpt's 2026 finding that seed-prompt headroom dominates search budget was obtained with an internally controlled optimizer across general NLP benchmarks. Whether the same pattern holds for a sealed commercial optimizer operating on the kind of everyday business agent tasks, travel approval, customer support triage, invoice extraction, in the existing baseline pack is untested, and a divergent finding would itself be a</w:t>
      </w:r>
      <w:r>
        <w:t xml:space="preserve"> notable, citable result given how recent and prominent the original claim is.</w:t>
      </w:r>
    </w:p>
    <w:p w14:paraId="15587F85" w14:textId="77777777" w:rsidR="000102E5" w:rsidRDefault="00175B34">
      <w:pPr>
        <w:pStyle w:val="Heading1"/>
      </w:pPr>
      <w:r>
        <w:t>3. Positioning Statement</w:t>
      </w:r>
    </w:p>
    <w:p w14:paraId="681F9DEA" w14:textId="77777777" w:rsidR="000102E5" w:rsidRDefault="00175B34">
      <w:r>
        <w:t>No published or preprint work, as of this survey, proposes or evaluates an adaptive, uncertainty-calibrated policy for deciding how much candidate budget to purchase from a sealed commercial agent optimizer, using only externally observable run-level scores. This is a narrow, precisely scoped, and currently open contribution. It sits at the intersection of three mature but previously unconnected literatures, hyperparameter-optimization budget allocation, LLM-judge uncertainty calibration, and commercial age</w:t>
      </w:r>
      <w:r>
        <w:t>nt-optimizer evaluation, none of which has been combined with either of the other two for this purpose.</w:t>
      </w:r>
    </w:p>
    <w:p w14:paraId="57C6A304" w14:textId="77777777" w:rsidR="000102E5" w:rsidRDefault="00175B34">
      <w:pPr>
        <w:pStyle w:val="Heading1"/>
      </w:pPr>
      <w:r>
        <w:t>4. The Proposed Innovation</w:t>
      </w:r>
    </w:p>
    <w:p w14:paraId="425D0D5A" w14:textId="77777777" w:rsidR="000102E5" w:rsidRDefault="00175B34">
      <w:pPr>
        <w:pStyle w:val="Heading2"/>
      </w:pPr>
      <w:r>
        <w:t>4.1 Name and one-sentence description</w:t>
      </w:r>
    </w:p>
    <w:p w14:paraId="55F1E04C" w14:textId="77777777" w:rsidR="000102E5" w:rsidRDefault="00175B34">
      <w:r>
        <w:t>Working title for the method: Sequential Calibrated Budget Allocation, abbreviated SCBA. Given a cheap, low-budget optimizer run, for example max_candidates equal to 2, SCBA fits a small family of saturating parametric curves to the partial evidence, produces a calibrated prediction interval on the score achievable at a higher budget tier using conformal methods rather than a raw point estimate, and issues a purchase, or do-not-purchase, decision for the next budget tier with a pre-registered confidence lev</w:t>
      </w:r>
      <w:r>
        <w:t>el, iterating tier by tier until either the predicted gain falls below a practically meaningful threshold or the confidence interval no longer excludes zero improvement.</w:t>
      </w:r>
    </w:p>
    <w:p w14:paraId="678527FB" w14:textId="77777777" w:rsidR="000102E5" w:rsidRDefault="00175B34">
      <w:pPr>
        <w:pStyle w:val="Heading2"/>
      </w:pPr>
      <w:r>
        <w:t>4.2 Mechanism, adapted from three source techniques</w:t>
      </w:r>
    </w:p>
    <w:p w14:paraId="2C62C7B7" w14:textId="77777777" w:rsidR="000102E5" w:rsidRDefault="00175B34">
      <w:r>
        <w:t>From Domhan, Springenberg, and Hutter, 2014: fit a small ensemble of monotonically saturating parametric families, power-law and sigmoidal forms are natural choices given that composite scores are bounded in the zero to one interval, to the available run-level observations, and combine them via a weighted average rather than trusting any single functional form, since with only two to three observed points per agent no single curve family can be assumed correct in advance.</w:t>
      </w:r>
    </w:p>
    <w:p w14:paraId="704BEFAC" w14:textId="77777777" w:rsidR="000102E5" w:rsidRDefault="00175B34">
      <w:r>
        <w:t>From the successive-halving and sequential-testing literature: treat each candidate-budget tier as a stage in a sequential elimination process. Rather than committing in advance to running every tier, as the descriptive pilot in Section 7 does for validation purposes, the adaptive policy purchases the next tier only when the extrapolated curve predicts a gain exceeding a pre-registered practical-significance threshold, directly reducing the real, per-run monetary and time cost the original pilot plan's Sect</w:t>
      </w:r>
      <w:r>
        <w:t>ion 4 procedure would otherwise always incur in full.</w:t>
      </w:r>
    </w:p>
    <w:p w14:paraId="2BD6CA8A" w14:textId="77777777" w:rsidR="000102E5" w:rsidRDefault="00175B34">
      <w:r>
        <w:t>From Sheng and colleagues, EMNLP 2025: replace the extrapolated curve's raw point prediction with a conformal prediction interval, calibrated on a held-out set of agent-and-tier observations from the descriptive pilot, so that the purchase decision carries a stated coverage guarantee, for example, a ninety percent confidence that the true achievable gain at the next tier lies within the reported interval, rather than resting on an unquantified point estimate the way a naive extrapolation would.</w:t>
      </w:r>
    </w:p>
    <w:p w14:paraId="1B24B54E" w14:textId="77777777" w:rsidR="000102E5" w:rsidRDefault="00175B34">
      <w:pPr>
        <w:pStyle w:val="Heading2"/>
      </w:pPr>
      <w:r>
        <w:t>4.3 Why this is a genuine methodological contribution and not a rebranded pilot</w:t>
      </w:r>
    </w:p>
    <w:p w14:paraId="210A626A" w14:textId="77777777" w:rsidR="000102E5" w:rsidRDefault="00175B34">
      <w:r>
        <w:t xml:space="preserve">The descriptive pilot answers one question: across the levels tested, does budget matter, on average, in this sample. SCBA answers a different, harder, and more practically valuable question: given only the cheapest observed tier, can a calibrated procedure correctly predict, in advance and without purchasing them, whether the more expensive tiers are worth buying, for this specific agent. This second question requires an algorithm, a calibration procedure, and a validation methodology, curve-extrapolation </w:t>
      </w:r>
      <w:r>
        <w:t>accuracy against the fully observed pilot data as ground truth, none of which the descriptive study alone provides. It is also the more publishable framing precisely because it produces something a practitioner or a future researcher can reuse, a decision procedure, rather than only a finding about one platform's default setting.</w:t>
      </w:r>
    </w:p>
    <w:p w14:paraId="52373F62" w14:textId="77777777" w:rsidR="000102E5" w:rsidRDefault="00175B34">
      <w:pPr>
        <w:pStyle w:val="Heading2"/>
      </w:pPr>
      <w:r>
        <w:t>4.4 Feasibility given existing infrastructure</w:t>
      </w:r>
    </w:p>
    <w:p w14:paraId="6A57212B" w14:textId="77777777" w:rsidR="000102E5" w:rsidRDefault="00175B34">
      <w:r>
        <w:t>The descriptive pilot's full factorial data collection, notebooks 08 and 09 already built, becomes the ground-truth dataset SCBA is validated against: for each agent and replicate, the fully observed level 2, 5, 10 curve is known, so SCBA's tier-by-tier predictions, made using only the data it would have had at that point, can be scored after the fact against what the pilot actually observed at the tiers SCBA would have chosen not to purchase. No additional portal-driven optimization runs beyond the pilot's</w:t>
      </w:r>
      <w:r>
        <w:t xml:space="preserve"> existing eighteen are required to validate SCBA retrospectively; a prospective validation pass, letting SCBA make live purchase decisions on a held-out set of new agents, is a natural and inexpensive extension once the retrospective validation is positive.</w:t>
      </w:r>
    </w:p>
    <w:p w14:paraId="7C07CFD0" w14:textId="77777777" w:rsidR="000102E5" w:rsidRDefault="00175B34">
      <w:pPr>
        <w:pStyle w:val="Heading1"/>
      </w:pPr>
      <w:r>
        <w:t>5. Revised Paper Outline</w:t>
      </w:r>
    </w:p>
    <w:p w14:paraId="3E65F451" w14:textId="77777777" w:rsidR="000102E5" w:rsidRDefault="00175B34">
      <w:r>
        <w:t>The outline below restructures the original pilot plan around the two-part contribution, the descriptive sensitivity study, now a validation dataset and baseline, and SCBA, the adaptive policy. Each entry states what the section contains and, separately, why that framing is the version most likely to be accepted at a competitive venue.</w:t>
      </w:r>
    </w:p>
    <w:p w14:paraId="4CD5AB54" w14:textId="77777777" w:rsidR="000102E5" w:rsidRDefault="00175B34">
      <w:pPr>
        <w:pStyle w:val="Heading2"/>
      </w:pPr>
      <w:r>
        <w:t>5.1 Title (candidate)</w:t>
      </w:r>
    </w:p>
    <w:p w14:paraId="146B954C" w14:textId="77777777" w:rsidR="000102E5" w:rsidRDefault="00175B34">
      <w:r>
        <w:t>Sequential Calibrated Budget Allocation for Black-Box Agent Optimizers: When Is It Worth Paying for More Candidates.</w:t>
      </w:r>
    </w:p>
    <w:p w14:paraId="0A9FFC4B" w14:textId="77777777" w:rsidR="000102E5" w:rsidRDefault="00175B34">
      <w:r>
        <w:t>Acceptance rationale: the title foregrounds a method name and a practically stated question, matching the pattern of accepted industry-track and empirical papers surveyed in Section 1, rather than reading as a platform benchmark report, which historically draws more reviewer skepticism about generalizability.</w:t>
      </w:r>
    </w:p>
    <w:p w14:paraId="4B66DF16" w14:textId="77777777" w:rsidR="000102E5" w:rsidRDefault="00175B34">
      <w:pPr>
        <w:pStyle w:val="Heading2"/>
      </w:pPr>
      <w:r>
        <w:t>5.2 Abstract</w:t>
      </w:r>
    </w:p>
    <w:p w14:paraId="7CFB495E" w14:textId="77777777" w:rsidR="000102E5" w:rsidRDefault="00175B34">
      <w:r>
        <w:t>States the practical problem, commercial agent optimizers expose a candidate-budget parameter whose cost-quality trade-off is asserted but unmeasured and unmanaged, the method, SCBA, and the two-part evidence: a controlled sensitivity study establishing ground truth, and a retrospective, held-out validation showing SCBA's tier-purchase decisions agree with the ground truth at a stated accuracy and confidence level, quantifying the token and time budget saved relative to always purchasing the largest tier.</w:t>
      </w:r>
    </w:p>
    <w:p w14:paraId="1986264B" w14:textId="77777777" w:rsidR="000102E5" w:rsidRDefault="00175B34">
      <w:r>
        <w:t>Acceptance rationale: an abstract that names a reusable method and reports a quantified cost saving, not only a significance test, gives reviewers a concrete contribution to evaluate independent of whether they use Foundry themselves.</w:t>
      </w:r>
    </w:p>
    <w:p w14:paraId="7933C863" w14:textId="77777777" w:rsidR="000102E5" w:rsidRDefault="00175B34">
      <w:pPr>
        <w:pStyle w:val="Heading2"/>
      </w:pPr>
      <w:r>
        <w:t>5.3 Introduction</w:t>
      </w:r>
    </w:p>
    <w:p w14:paraId="20F433E5" w14:textId="77777777" w:rsidR="000102E5" w:rsidRDefault="00175B34">
      <w:r>
        <w:t>Opens with the same practitioner motivation as the original plan, then immediately narrows to the specific, previously unaddressed question, not does budget matter, but can a practitioner know in advance, cheaply, whether it will, for their agent, without exhaustively purchasing every tier. States the three source techniques being combined and the black-box constraint that makes the combination non-trivial.</w:t>
      </w:r>
    </w:p>
    <w:p w14:paraId="0C195B74" w14:textId="77777777" w:rsidR="000102E5" w:rsidRDefault="00175B34">
      <w:r>
        <w:t>Acceptance rationale: reviewers reward introductions that state precisely what is new relative to the nearest prior work, here RLMOpt, MIPROv2, and Domhan and colleagues, rather than motivating from first principles.</w:t>
      </w:r>
    </w:p>
    <w:p w14:paraId="070F6BF3" w14:textId="77777777" w:rsidR="000102E5" w:rsidRDefault="00175B34">
      <w:pPr>
        <w:pStyle w:val="Heading2"/>
      </w:pPr>
      <w:r>
        <w:t>5.4 Related Work</w:t>
      </w:r>
    </w:p>
    <w:p w14:paraId="520FC05A" w14:textId="77777777" w:rsidR="000102E5" w:rsidRDefault="00175B34">
      <w:r>
        <w:t>Directly reuses Section 1 of this document, organized into the same five subsections, with explicit, named contrasts, RLMOpt controls an internal loop, we do not; Domhan and colleagues assume epoch-level curves, we adapt to run-level ones; Sheng and colleagues calibrate a score, we calibrate a purchase decision.</w:t>
      </w:r>
    </w:p>
    <w:p w14:paraId="27701DF8" w14:textId="77777777" w:rsidR="000102E5" w:rsidRDefault="00175B34">
      <w:r>
        <w:t>Acceptance rationale: a related-work section organized around what each line of work does not cover, rather than a flat literature list, is the structure reviewers cite most often when recommending acceptance for empirical methods papers.</w:t>
      </w:r>
    </w:p>
    <w:p w14:paraId="7BF9FB84" w14:textId="77777777" w:rsidR="000102E5" w:rsidRDefault="00175B34">
      <w:pPr>
        <w:pStyle w:val="Heading2"/>
      </w:pPr>
      <w:r>
        <w:t>5.5 Method</w:t>
      </w:r>
    </w:p>
    <w:p w14:paraId="26AFF132" w14:textId="77777777" w:rsidR="000102E5" w:rsidRDefault="00175B34">
      <w:r>
        <w:t>Two subsections. First, the descriptive sensitivity design exactly as specified in the original pilot plan, agents, held-out split, replicate structure, Friedman and Nemenyi tests, now framed explicitly as producing the ground-truth curves SCBA is evaluated against. Second, SCBA itself: the curve family, the model-averaging procedure, the conformal calibration step, and the sequential purchase rule, with pseudocode.</w:t>
      </w:r>
    </w:p>
    <w:p w14:paraId="51FDE7EA" w14:textId="77777777" w:rsidR="000102E5" w:rsidRDefault="00175B34">
      <w:r>
        <w:t>Acceptance rationale: presenting the descriptive design as instrumental to validating the method, rather than as the paper's end product, reframes what could read as a narrow platform study into supporting evidence for a general-purpose algorithm.</w:t>
      </w:r>
    </w:p>
    <w:p w14:paraId="678B0C3A" w14:textId="77777777" w:rsidR="000102E5" w:rsidRDefault="00175B34">
      <w:pPr>
        <w:pStyle w:val="Heading2"/>
      </w:pPr>
      <w:r>
        <w:t>5.6 Experimental Setup</w:t>
      </w:r>
    </w:p>
    <w:p w14:paraId="75E9B894" w14:textId="77777777" w:rsidR="000102E5" w:rsidRDefault="00175B34">
      <w:r>
        <w:t>Specifies the agents, the held-out test split, the fixed evaluation and optimization models, and, new relative to the original plan, the retrospective validation protocol: for each agent and replicate, SCBA is run as if only the level-2 result were available, its predicted decision at level 5 and level 10 is recorded, and compared against the fully observed pilot data as ground truth. Reports the calibration set used to fit the conformal intervals, held separate from the agents used for final evaluation.</w:t>
      </w:r>
    </w:p>
    <w:p w14:paraId="2F6CF81C" w14:textId="77777777" w:rsidR="000102E5" w:rsidRDefault="00175B34">
      <w:r>
        <w:t>Acceptance rationale: an explicit train-calibrate-test separation, even at small scale, is what distinguishes a credible, if modest, machine-learning contribution from an ad hoc heuristic, and reviewers check for this separation specifically in papers proposing a predictive or decision-theoretic method.</w:t>
      </w:r>
    </w:p>
    <w:p w14:paraId="0280A0CE" w14:textId="77777777" w:rsidR="000102E5" w:rsidRDefault="00175B34">
      <w:pPr>
        <w:pStyle w:val="Heading2"/>
      </w:pPr>
      <w:r>
        <w:t>5.7 Results</w:t>
      </w:r>
    </w:p>
    <w:p w14:paraId="667AFD5D" w14:textId="77777777" w:rsidR="000102E5" w:rsidRDefault="00175B34">
      <w:r>
        <w:t xml:space="preserve">Three results in sequence. First, the descriptive Friedman and Pareto results exactly as the original plan specifies, establishing whether and how much budget matters at all. Second, SCBA's decision accuracy, how often its purchase or no-purchase call at each tier matched what the fully observed data shows was actually worth purchasing, together with the achieved coverage of its conformal intervals against the pre-registered target. Third, the realized savings, the fraction of total candidate-budget spend, </w:t>
      </w:r>
      <w:r>
        <w:t>in tokens and portal runs, SCBA would have avoided relative to an always-buy-the-largest-tier baseline, at whatever decision accuracy it achieved.</w:t>
      </w:r>
    </w:p>
    <w:p w14:paraId="3F3ABB97" w14:textId="77777777" w:rsidR="000102E5" w:rsidRDefault="00175B34">
      <w:r>
        <w:t>Acceptance rationale: reporting a decision-accuracy and a realized-savings number, not only a hypothesis-test p-value, gives the paper a headline number, comparable across future work and other optimizers, of the kind that drives citations.</w:t>
      </w:r>
    </w:p>
    <w:p w14:paraId="03A100D4" w14:textId="77777777" w:rsidR="000102E5" w:rsidRDefault="00175B34">
      <w:pPr>
        <w:pStyle w:val="Heading2"/>
      </w:pPr>
      <w:r>
        <w:t>5.8 Discussion</w:t>
      </w:r>
    </w:p>
    <w:p w14:paraId="56205438" w14:textId="77777777" w:rsidR="000102E5" w:rsidRDefault="00175B34">
      <w:r>
        <w:t>Interprets whether the headroom-dominates-budget pattern RLMOpt reports for an internally controlled optimizer replicates for Foundry's sealed one, Gap 4 from Section 2, and discusses what SCBA's accuracy implies about how predictable a black-box commercial optimizer's returns are from minimal probing, a question with implications well beyond Foundry for any team budgeting spend on a SaaS optimization product.</w:t>
      </w:r>
    </w:p>
    <w:p w14:paraId="4206B9C7" w14:textId="77777777" w:rsidR="000102E5" w:rsidRDefault="00175B34">
      <w:pPr>
        <w:pStyle w:val="Heading2"/>
      </w:pPr>
      <w:r>
        <w:t>5.9 Limitations</w:t>
      </w:r>
    </w:p>
    <w:p w14:paraId="1F4D3AB2" w14:textId="77777777" w:rsidR="000102E5" w:rsidRDefault="00175B34">
      <w:r>
        <w:t xml:space="preserve">States plainly what the earlier pilot plan already registered, small held-out item counts, only two to three agents, no control over the optimizer's internal random seed, and adds SCBA-specific limitations: the curve-extrapolation ensemble was validated on the same platform and model families used throughout, so its calibration may not transfer to a different commercial optimizer without recalibration, and the retrospective validation, while methodologically sound, is not yet a live, prospective deployment </w:t>
      </w:r>
      <w:r>
        <w:t>test.</w:t>
      </w:r>
    </w:p>
    <w:p w14:paraId="3B056C86" w14:textId="77777777" w:rsidR="000102E5" w:rsidRDefault="00175B34">
      <w:pPr>
        <w:pStyle w:val="Heading2"/>
      </w:pPr>
      <w:r>
        <w:t>5.10 Conclusion and Future Work</w:t>
      </w:r>
    </w:p>
    <w:p w14:paraId="24C1E5D6" w14:textId="77777777" w:rsidR="000102E5" w:rsidRDefault="00175B34">
      <w:r>
        <w:t>States the two-part contribution concisely and proposes the natural next steps already registered in the original pilot plan's Section 7, more agents, more replicates, a live prospective validation, and extension to hosted-agent optimization, where the configuration is code-driven rather than portal-driven and could make SCBA fully automatable end to end.</w:t>
      </w:r>
    </w:p>
    <w:p w14:paraId="66350EBF" w14:textId="77777777" w:rsidR="000102E5" w:rsidRDefault="00175B34">
      <w:pPr>
        <w:pStyle w:val="Heading1"/>
      </w:pPr>
      <w:r>
        <w:t>6. Target Venue Reassessment</w:t>
      </w:r>
    </w:p>
    <w:p w14:paraId="20ECC35A" w14:textId="77777777" w:rsidR="000102E5" w:rsidRDefault="00175B34">
      <w:r>
        <w:t>The original plan targeted the Association for Computational Linguistics or Empirical Methods in Natural Language Processing Industry Track, following the Sadjoli and colleagues precedent, or a Conference on Language Modeling short paper. With the SCBA contribution added, the paper is a stronger fit for a slightly broader set of venues, since it now proposes a general-purpose, reusable decision procedure rather than a single-platform measurement.</w:t>
      </w:r>
    </w:p>
    <w:p w14:paraId="1C58FDC2" w14:textId="77777777" w:rsidR="000102E5" w:rsidRDefault="00175B34">
      <w:pPr>
        <w:numPr>
          <w:ilvl w:val="0"/>
          <w:numId w:val="10"/>
        </w:numPr>
      </w:pPr>
      <w:r>
        <w:t>Association for Computational Linguistics or Empirical Methods in Natural Language Processing, main conference findings track. A well-scoped empirical methods paper with a named, validated technique and honestly reported limitations is a standard findings-track profile, and this framing directly strengthens, rather than replaces, the original Industry Track option as a fallback.</w:t>
      </w:r>
    </w:p>
    <w:p w14:paraId="41E05079" w14:textId="77777777" w:rsidR="000102E5" w:rsidRDefault="00175B34">
      <w:pPr>
        <w:numPr>
          <w:ilvl w:val="0"/>
          <w:numId w:val="10"/>
        </w:numPr>
      </w:pPr>
      <w:r>
        <w:t>Conference on Language Modeling, full paper rather than short paper. The 2025 program's acceptance of comparably scoped empirical and evaluation-methodology papers, judge-bias assessment, prompt self-inconsistency, fluid benchmarking, extends naturally to a paper proposing a new calibrated decision procedure for optimizer evaluation.</w:t>
      </w:r>
    </w:p>
    <w:p w14:paraId="7088B421" w14:textId="77777777" w:rsidR="000102E5" w:rsidRDefault="00175B34">
      <w:pPr>
        <w:numPr>
          <w:ilvl w:val="0"/>
          <w:numId w:val="10"/>
        </w:numPr>
      </w:pPr>
      <w:r>
        <w:t>A workshop at a machine-learning venue focused on efficient machine learning, automated machine learning, or resource-aware AI, for example an AutoML-adjacent workshop at NeurIPS or ICML. These venues are a strong fit specifically because SCBA is, at its core, a hyperparameter-optimization budget-allocation contribution applied to a new domain, and workshop reviewers in this community are the most direct audience for the curve-extrapolation and successive-halving lineage the method draws on.</w:t>
      </w:r>
    </w:p>
    <w:p w14:paraId="7F9FC29B" w14:textId="77777777" w:rsidR="000102E5" w:rsidRDefault="00175B34">
      <w:r>
        <w:t>The Association for Autonomous Agents and Multiagent Systems, AAMAS, remains a poor fit, as established in the earlier reproducibility study's venue survey; its accepted-paper profile is dominated by game theory, mechanism design, and multi-agent reinforcement learning, not evaluation methodology for single-agent optimization tooling.</w:t>
      </w:r>
    </w:p>
    <w:p w14:paraId="6D1A880A" w14:textId="77777777" w:rsidR="000102E5" w:rsidRDefault="00175B34">
      <w:pPr>
        <w:pStyle w:val="Heading1"/>
      </w:pPr>
      <w:r>
        <w:t>7. Fallback Plan: The Descriptive Pilot Alone</w:t>
      </w:r>
    </w:p>
    <w:p w14:paraId="53D7A33F" w14:textId="77777777" w:rsidR="000102E5" w:rsidRDefault="00175B34">
      <w:r>
        <w:t>If SCBA's retrospective validation shows poor decision accuracy, for example because two to three run-level observations per agent are genuinely insufficient for any curve-extrapolation method to predict later tiers reliably, that negative result is still reportable and still informative: it would show that black-box commercial agent-optimizer returns are not predictable from minimal probing, a useful boundary condition for the field to know, and the paper can fall back to the original descriptive pilot pla</w:t>
      </w:r>
      <w:r>
        <w:t>n's framing, submitted to the Industry Track venues identified there, with the SCBA attempt and its negative result reported as a discussion-section finding rather than the headline contribution. This preserves a viable publication path under either outcome and should be stated explicitly in any internal go or no-go decision before committing further portal-run time to data collection.</w:t>
      </w:r>
    </w:p>
    <w:p w14:paraId="071E4E01" w14:textId="77777777" w:rsidR="000102E5" w:rsidRDefault="00175B34">
      <w:pPr>
        <w:pStyle w:val="Heading1"/>
      </w:pPr>
      <w:r>
        <w:t>References</w:t>
      </w:r>
    </w:p>
    <w:p w14:paraId="2553F659" w14:textId="77777777" w:rsidR="000102E5" w:rsidRDefault="00175B34">
      <w:r>
        <w:t>Ballew, A., Wang, J., and Ren, S. (2025). LLM Based Bayesian Optimization for Prompt Search. arXiv:2510.04384.</w:t>
      </w:r>
    </w:p>
    <w:p w14:paraId="10006A6B" w14:textId="77777777" w:rsidR="000102E5" w:rsidRDefault="00175B34">
      <w:r>
        <w:t>Bangalore Satheesha, S., Pande, N., Duddempudi, D., and Dandala, B. (2026). RLMOpt: Adaptive Prompt Optimization via Recursive Language Models. arXiv:2608.10471.</w:t>
      </w:r>
    </w:p>
    <w:p w14:paraId="6030235C" w14:textId="77777777" w:rsidR="000102E5" w:rsidRDefault="00175B34">
      <w:r>
        <w:t>Domhan, T., Springenberg, J. T., and Hutter, F. (2014). Extrapolating Learning Curves of Deep Neural Networks. ICML AutoML Workshop.</w:t>
      </w:r>
    </w:p>
    <w:p w14:paraId="5CB867ED" w14:textId="77777777" w:rsidR="000102E5" w:rsidRDefault="00175B34">
      <w:r>
        <w:t>Khattab, O., et al. (2023-2024). DSPy: MIPROv2 Optimizer Documentation and Compiling Declarative Language Model Calls into Self-Improving Pipelines. arXiv:2310.03714.</w:t>
      </w:r>
    </w:p>
    <w:p w14:paraId="2AEA58D5" w14:textId="77777777" w:rsidR="000102E5" w:rsidRDefault="00175B34">
      <w:r>
        <w:t>Sabbatella, A., Ponti, A., Candelieri, A., Giordani, I., and Archetti, F. (2023). A Bayesian Approach for Prompt Optimization in Pre-Trained Language Models. arXiv:2312.00471.</w:t>
      </w:r>
    </w:p>
    <w:p w14:paraId="7653CC38" w14:textId="77777777" w:rsidR="000102E5" w:rsidRDefault="00175B34">
      <w:r>
        <w:t>Sadjoli, N., Siefken, T., Ghosh, A., Mai, Y., and Dahlmeier, D. (2025). Optimization before Evaluation: Evaluation with Unoptimized Prompts Can be Misleading. Proceedings of the 63rd Annual Meeting of the Association for Computational Linguistics, Volume 6, Industry Track, 619 to 638.</w:t>
      </w:r>
    </w:p>
    <w:p w14:paraId="1C6B7053" w14:textId="77777777" w:rsidR="000102E5" w:rsidRDefault="00175B34">
      <w:r>
        <w:t>Sheng, H., Liu, X., He, H., Zhao, J., and Kang, J. (2025). Analyzing Uncertainty of LLM-as-a-Judge: Interval Evaluations with Conformal Prediction. To appear, Empirical Methods in Natural Language Processing.</w:t>
      </w:r>
    </w:p>
    <w:p w14:paraId="4BB1EB42" w14:textId="77777777" w:rsidR="000102E5" w:rsidRDefault="00175B34">
      <w:r>
        <w:t>Swersky, K., Snoek, J., and Adams, R. P. (2014). Freeze-Thaw Bayesian Optimization. arXiv:1406.3896.</w:t>
      </w:r>
    </w:p>
    <w:p w14:paraId="47846C0F" w14:textId="77777777" w:rsidR="000102E5" w:rsidRDefault="00175B34">
      <w:r>
        <w:t>Ursekar, V., Shanker, A., Chatrath, V., Xue, Y., and Denton, S. M. (2026). VeRO: A Harness for Agents to Optimize Agents. arXiv:2602.22480.</w:t>
      </w:r>
    </w:p>
    <w:p w14:paraId="6D410917" w14:textId="77777777" w:rsidR="000102E5" w:rsidRDefault="00175B34">
      <w:r>
        <w:t>Wu, Y., Sun, Z., Li, S., Welleck, S., and Yang, Y. (2024-2025). Inference Scaling Laws: An Empirical Analysis of Compute-Optimal Inference for Problem-Solving with Language Models. arXiv:2408.00724.</w:t>
      </w:r>
    </w:p>
    <w:p w14:paraId="6CF3F983" w14:textId="77777777" w:rsidR="000102E5" w:rsidRDefault="00175B34">
      <w:r>
        <w:t>Yang, C., Wang, X., Lu, Y., Liu, H., Le, Q. V., Zhou, D., and Chen, X. (2023). Large Language Models as Optimizers. arXiv:2309.03409.</w:t>
      </w:r>
    </w:p>
    <w:p w14:paraId="4470AB69" w14:textId="77777777" w:rsidR="000102E5" w:rsidRDefault="00175B34">
      <w:r>
        <w:t>Zhao, G., Yoon, B.-J., Park, G., Jha, S., Yoo, S., and Qian, X. (2025). Pareto Prompt Optimization. International Conference on Learning Representations.</w:t>
      </w:r>
    </w:p>
    <w:p w14:paraId="6B22E690" w14:textId="77777777" w:rsidR="000102E5" w:rsidRDefault="00175B34">
      <w:r>
        <w:t>Zheng, L., et al. (2023). Judging LLM-as-a-Judge with MT-Bench and Chatbot Arena. arXiv:2306.05685.</w:t>
      </w:r>
    </w:p>
    <w:p w14:paraId="6061455A" w14:textId="77777777" w:rsidR="000102E5" w:rsidRDefault="00175B34">
      <w:r>
        <w:t>Zhou, Y., Muresanu, A. I., Han, Z., Paster, K., Pitis, S., Chan, H., and Ba, J. (2022). Large Language Models Are Human-Level Prompt Engineers. arXiv:2211.01910.</w:t>
      </w:r>
    </w:p>
    <w:sectPr w:rsidR="000102E5"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758A6" w14:textId="77777777" w:rsidR="00175B34" w:rsidRDefault="00175B34">
      <w:pPr>
        <w:spacing w:after="0" w:line="240" w:lineRule="auto"/>
      </w:pPr>
      <w:r>
        <w:separator/>
      </w:r>
    </w:p>
  </w:endnote>
  <w:endnote w:type="continuationSeparator" w:id="0">
    <w:p w14:paraId="133A0A38" w14:textId="77777777" w:rsidR="00175B34" w:rsidRDefault="00175B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C308B" w14:textId="77777777" w:rsidR="000102E5" w:rsidRDefault="00175B34">
    <w:pPr>
      <w:jc w:val="center"/>
    </w:pPr>
    <w:r>
      <w:t xml:space="preserve">Page </w:t>
    </w:r>
    <w:r>
      <w:fldChar w:fldCharType="begin"/>
    </w:r>
    <w:r>
      <w:instrText>PAGE</w:instrText>
    </w:r>
    <w:r>
      <w:fldChar w:fldCharType="separate"/>
    </w:r>
    <w:r>
      <w:t>1</w:t>
    </w:r>
    <w:r>
      <w:fldChar w:fldCharType="end"/>
    </w:r>
    <w:r>
      <w:t xml:space="preserve"> of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4523A" w14:textId="77777777" w:rsidR="00175B34" w:rsidRDefault="00175B34">
      <w:pPr>
        <w:spacing w:after="0" w:line="240" w:lineRule="auto"/>
      </w:pPr>
      <w:r>
        <w:separator/>
      </w:r>
    </w:p>
  </w:footnote>
  <w:footnote w:type="continuationSeparator" w:id="0">
    <w:p w14:paraId="0683212B" w14:textId="77777777" w:rsidR="00175B34" w:rsidRDefault="00175B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4664F9"/>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528677A7"/>
    <w:multiLevelType w:val="multilevel"/>
    <w:tmpl w:val="FFFFFFFF"/>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856235007">
    <w:abstractNumId w:val="8"/>
  </w:num>
  <w:num w:numId="2" w16cid:durableId="1727755524">
    <w:abstractNumId w:val="6"/>
  </w:num>
  <w:num w:numId="3" w16cid:durableId="1182937623">
    <w:abstractNumId w:val="5"/>
  </w:num>
  <w:num w:numId="4" w16cid:durableId="1904488835">
    <w:abstractNumId w:val="4"/>
  </w:num>
  <w:num w:numId="5" w16cid:durableId="218707170">
    <w:abstractNumId w:val="7"/>
  </w:num>
  <w:num w:numId="6" w16cid:durableId="1543127510">
    <w:abstractNumId w:val="3"/>
  </w:num>
  <w:num w:numId="7" w16cid:durableId="977564624">
    <w:abstractNumId w:val="2"/>
  </w:num>
  <w:num w:numId="8" w16cid:durableId="279999764">
    <w:abstractNumId w:val="1"/>
  </w:num>
  <w:num w:numId="9" w16cid:durableId="209924059">
    <w:abstractNumId w:val="0"/>
  </w:num>
  <w:num w:numId="10" w16cid:durableId="817960622">
    <w:abstractNumId w:val="10"/>
  </w:num>
  <w:num w:numId="11" w16cid:durableId="6320958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2E5"/>
    <w:rsid w:val="00034616"/>
    <w:rsid w:val="0006063C"/>
    <w:rsid w:val="0015074B"/>
    <w:rsid w:val="00175B34"/>
    <w:rsid w:val="0029639D"/>
    <w:rsid w:val="00326F90"/>
    <w:rsid w:val="00AA1D8D"/>
    <w:rsid w:val="00B47730"/>
    <w:rsid w:val="00CB0664"/>
    <w:rsid w:val="00EF5933"/>
    <w:rsid w:val="00FC693F"/>
    <w:rsid w:val="59C604F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F1761C3-3A68-4EA4-A27F-4F20BA0E5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4301</Words>
  <Characters>24521</Characters>
  <Application>Microsoft Office Word</Application>
  <DocSecurity>0</DocSecurity>
  <Lines>204</Lines>
  <Paragraphs>57</Paragraphs>
  <ScaleCrop>false</ScaleCrop>
  <Manager/>
  <Company/>
  <LinksUpToDate>false</LinksUpToDate>
  <CharactersWithSpaces>28765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Descriptive Pilot to Novel Contribution: Prior Work, Research Gaps, and a Publication-Ready Outline for Foundry Agent-Optimizer Research</dc:title>
  <dc:subject>Academic grounding, gap analysis, and revised paper plan for the Foundry candidate-budget pilot</dc:subject>
  <dc:creator>Microsoft Copilot</dc:creator>
  <cp:keywords/>
  <dc:description/>
  <cp:lastModifiedBy>Ruairi O'Donnell</cp:lastModifiedBy>
  <cp:revision>2</cp:revision>
  <dcterms:created xsi:type="dcterms:W3CDTF">2026-08-24T07:54:00Z</dcterms:created>
  <dcterms:modified xsi:type="dcterms:W3CDTF">2026-08-24T07:54:00Z</dcterms:modified>
  <cp:category/>
</cp:coreProperties>
</file>