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1105217" cy="1116053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217" cy="1116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SCC - Sistema de Controle de Concessionária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Honda Estrela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DCU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Elaborado por: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Patrícia Regina Darós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03/04/2022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Gerente/Funcionário Logado no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1.3.2</w:t>
            <w:tab/>
            <w:t xml:space="preserve">Pré cadastro do nome de recall</w:t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EXECUÇÃO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i w:val="1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 recall já foi realizado para o veículo selecionado.(Regra de negócio 1)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i w:val="1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2.2.2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Verificar se foi excedido o número máximo de recalls do dia.(Regra de negócio 2)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Registro de realização do recall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432"/>
          <w:tab w:val="right" w:pos="9360"/>
        </w:tabs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Uso: 03 - Realizar Recall.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widowControl w:val="0"/>
        <w:numPr>
          <w:ilvl w:val="0"/>
          <w:numId w:val="3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fábrica informa a abertura de um recall. O ator identifica os chassis, o modelo e o ano de fabricação dos veículos que serão contemplados pelo recall.</w:t>
      </w:r>
    </w:p>
    <w:p w:rsidR="00000000" w:rsidDel="00000000" w:rsidP="00000000" w:rsidRDefault="00000000" w:rsidRPr="00000000" w14:paraId="00000041">
      <w:pPr>
        <w:widowControl w:val="0"/>
        <w:spacing w:after="12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Atores</w:t>
      </w:r>
    </w:p>
    <w:p w:rsidR="00000000" w:rsidDel="00000000" w:rsidP="00000000" w:rsidRDefault="00000000" w:rsidRPr="00000000" w14:paraId="00000043">
      <w:pPr>
        <w:widowControl w:val="0"/>
        <w:spacing w:after="120" w:lineRule="auto"/>
        <w:rPr/>
      </w:pPr>
      <w:r w:rsidDel="00000000" w:rsidR="00000000" w:rsidRPr="00000000">
        <w:rPr>
          <w:rtl w:val="0"/>
        </w:rPr>
        <w:t xml:space="preserve">Gerente e Funcionário.</w:t>
      </w:r>
    </w:p>
    <w:p w:rsidR="00000000" w:rsidDel="00000000" w:rsidP="00000000" w:rsidRDefault="00000000" w:rsidRPr="00000000" w14:paraId="00000044">
      <w:pPr>
        <w:widowControl w:val="0"/>
        <w:spacing w:after="120" w:lineRule="auto"/>
        <w:rPr/>
      </w:pPr>
      <w:bookmarkStart w:colFirst="0" w:colLast="0" w:name="_heading=h.t2axcdz4uo0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Pré-Condições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Esta seção descreve um estado ou ação anterior necessária para execução do caso de uso.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tabs>
          <w:tab w:val="left" w:pos="567"/>
        </w:tabs>
        <w:spacing w:after="40" w:before="8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Gerente/Funcionário Logado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O Gerente/Funcionário deve estar previamente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rhzupketria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tabs>
          <w:tab w:val="left" w:pos="567"/>
        </w:tabs>
        <w:spacing w:after="40" w:before="8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Pré cadastro do nome de 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que seja possível a realização do recall é necessário que os nomes dos Recalls já estejam cadastrados.</w: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jspn8sbs5ys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widowControl w:val="0"/>
        <w:numPr>
          <w:ilvl w:val="0"/>
          <w:numId w:val="3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FLUXOS DE EXECUÇÃO</w:t>
      </w:r>
    </w:p>
    <w:p w:rsidR="00000000" w:rsidDel="00000000" w:rsidP="00000000" w:rsidRDefault="00000000" w:rsidRPr="00000000" w14:paraId="0000004F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Esta seção contém uma descrição do fluxo de execução que o caso de uso representa.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Fluxo Principal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Este é o fluxo para o caso de sucesso. Não são considerados neste fluxo os erros ou desvios passíveis de acontecer.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chega à concessionária e informa o nome do recall.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 Sistema preenche código do recall.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preenche o número inicial do chassi que  o recall abrange.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Sistema preenche o número final do chassi que  o recall abrange.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 lista com os clientes relacionados ao recall em questão.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seleciona o cliente e o veículo em que o recall será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preencherá o Chassi e o código da moto selecionados.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irá informar se o recall foi ou não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confirma a realização do recall.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vai embora.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tabs>
          <w:tab w:val="left" w:pos="567"/>
        </w:tabs>
        <w:spacing w:after="40" w:before="8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O recall já foi realizado para o veículo selecionado.(Regra de negócio 1)</w:t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6a: O recall já foi efetuado.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informa ao cliente que o recall já foi realizado</w:t>
            </w:r>
          </w:p>
          <w:p w:rsidR="00000000" w:rsidDel="00000000" w:rsidP="00000000" w:rsidRDefault="00000000" w:rsidRPr="00000000" w14:paraId="0000006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Retorna ao passo 10 do caso de uso.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Verificar se foi excedido o número máximo de recalls do dia.(Regra de negócio 2)</w:t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9a: Caso já tenham sido realizados mais de quatro recalls em um dia.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informa ao cliente que a quantidade de recalls do dia foi excedida.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operação não </w:t>
            </w:r>
            <w:r w:rsidDel="00000000" w:rsidR="00000000" w:rsidRPr="00000000">
              <w:rPr>
                <w:rtl w:val="0"/>
              </w:rPr>
              <w:t xml:space="preserve">será</w:t>
            </w:r>
            <w:r w:rsidDel="00000000" w:rsidR="00000000" w:rsidRPr="00000000">
              <w:rPr>
                <w:rtl w:val="0"/>
              </w:rPr>
              <w:t xml:space="preserve"> finalizada.</w:t>
            </w:r>
          </w:p>
          <w:p w:rsidR="00000000" w:rsidDel="00000000" w:rsidP="00000000" w:rsidRDefault="00000000" w:rsidRPr="00000000" w14:paraId="000000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Retorna ao passo 10 do caso de uso.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widowControl w:val="0"/>
        <w:numPr>
          <w:ilvl w:val="0"/>
          <w:numId w:val="3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PÓS-CONDIÇÕES</w:t>
      </w:r>
    </w:p>
    <w:p w:rsidR="00000000" w:rsidDel="00000000" w:rsidP="00000000" w:rsidRDefault="00000000" w:rsidRPr="00000000" w14:paraId="0000006C">
      <w:pPr>
        <w:rPr>
          <w:i w:val="1"/>
          <w:color w:val="0000ff"/>
          <w:sz w:val="20"/>
          <w:szCs w:val="20"/>
        </w:rPr>
      </w:pPr>
      <w:bookmarkStart w:colFirst="0" w:colLast="0" w:name="_heading=h.z337ya" w:id="3"/>
      <w:bookmarkEnd w:id="3"/>
      <w:r w:rsidDel="00000000" w:rsidR="00000000" w:rsidRPr="00000000">
        <w:rPr>
          <w:rtl w:val="0"/>
        </w:rPr>
        <w:t xml:space="preserve">As pós-condições especificam a situação (ou ação) final do negócio após o fluxo de trabalho ótimo.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tabs>
          <w:tab w:val="left" w:pos="454"/>
        </w:tabs>
        <w:spacing w:after="60" w:before="120" w:lineRule="auto"/>
        <w:ind w:lef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do recall</w:t>
      </w:r>
    </w:p>
    <w:p w:rsidR="00000000" w:rsidDel="00000000" w:rsidP="00000000" w:rsidRDefault="00000000" w:rsidRPr="00000000" w14:paraId="0000006E">
      <w:pPr>
        <w:widowControl w:val="0"/>
        <w:spacing w:after="12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O recall é realizado. O registro do recall é atualizado e o campo Recall finalizado é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widowControl w:val="0"/>
        <w:numPr>
          <w:ilvl w:val="0"/>
          <w:numId w:val="3"/>
        </w:numPr>
        <w:shd w:fill="d9d9d9" w:val="clear"/>
        <w:tabs>
          <w:tab w:val="left" w:pos="454"/>
        </w:tabs>
        <w:spacing w:after="120" w:before="240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before="60" w:lineRule="auto"/>
        <w:ind w:left="566.9291338582675" w:hanging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Verificar quais foram os clientes que compraram os modelos das motos que possuem recall em aberto.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566.9291338582675" w:hanging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Verificar se existe recall aberto para aquele modelo.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566.9291338582675" w:hanging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permitir que o mesmo cliente seja contemplado mais de uma vez com o recall.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60" w:lineRule="auto"/>
        <w:ind w:left="566.9291338582675" w:hanging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Verificar se já foram realizados mais de 4 recalls em um dia.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2.0" w:type="dxa"/>
      <w:jc w:val="left"/>
      <w:tblInd w:w="108.0" w:type="dxa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829.921875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SCC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cantSplit w:val="0"/>
        <w:trHeight w:val="57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83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SCC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versão: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4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                                                  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8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cantSplit w:val="0"/>
        <w:trHeight w:val="92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942658" cy="95155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658" cy="95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114300" distR="114300">
                <wp:extent cx="569563" cy="763000"/>
                <wp:effectExtent b="0" l="0" r="0" t="0"/>
                <wp:docPr id="8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63" cy="76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widowControl w:val="0"/>
      <w:tabs>
        <w:tab w:val="center" w:pos="4320"/>
        <w:tab w:val="right" w:pos="8640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</w:rPr>
      <w:drawing>
        <wp:inline distB="0" distT="0" distL="114300" distR="114300">
          <wp:extent cx="569563" cy="763000"/>
          <wp:effectExtent b="0" l="0" r="0" t="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9563" cy="76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-19048</wp:posOffset>
          </wp:positionV>
          <wp:extent cx="942658" cy="951550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658" cy="9515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cantSplit w:val="1"/>
        <w:trHeight w:val="9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9">
          <w:pPr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A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next w:val="Normal"/>
    <w:autoRedefine w:val="0"/>
    <w:hidden w:val="0"/>
    <w:qFormat w:val="0"/>
    <w:pPr>
      <w:numPr>
        <w:ilvl w:val="1"/>
        <w:numId w:val="2"/>
      </w:numPr>
      <w:tabs>
        <w:tab w:val="clear" w:pos="0"/>
        <w:tab w:val="left" w:leader="none" w:pos="454"/>
      </w:tabs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next w:val="Normal"/>
    <w:autoRedefine w:val="0"/>
    <w:hidden w:val="0"/>
    <w:qFormat w:val="0"/>
    <w:pPr>
      <w:numPr>
        <w:ilvl w:val="2"/>
        <w:numId w:val="2"/>
      </w:numPr>
      <w:tabs>
        <w:tab w:val="clear" w:pos="0"/>
        <w:tab w:val="left" w:leader="none" w:pos="567"/>
      </w:tabs>
      <w:suppressAutoHyphens w:val="1"/>
      <w:spacing w:after="40" w:before="8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0"/>
      <w:cap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-Fonteparág.padrão">
    <w:name w:val="WW-Fonte parág. padrão"/>
    <w:next w:val="WW-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WW-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6z0">
    <w:name w:val="WW8NumSt6z0"/>
    <w:next w:val="WW8NumSt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19z0">
    <w:name w:val="WW8NumSt19z0"/>
    <w:next w:val="WW8NumSt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paragraph" w:styleId="Título0">
    <w:name w:val="T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lbany" w:eastAsia="HG Mincho Light J" w:hAnsi="Albany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en-US"/>
    </w:rPr>
  </w:style>
  <w:style w:type="paragraph" w:styleId="Subtítulo">
    <w:name w:val="Subtítulo"/>
    <w:basedOn w:val="Título0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lbany" w:eastAsia="HG Mincho Light J" w:hAnsi="Albany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InfoBlue">
    <w:name w:val="InfoBlue"/>
    <w:basedOn w:val="Normal"/>
    <w:next w:val="Normal"/>
    <w:autoRedefine w:val="0"/>
    <w:hidden w:val="0"/>
    <w:qFormat w:val="0"/>
    <w:pPr>
      <w:widowControl w:val="0"/>
      <w:suppressAutoHyphens w:val="0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WW-Textosimples">
    <w:name w:val="WW-Texto simples"/>
    <w:basedOn w:val="Normal"/>
    <w:next w:val="WW-Textosimple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versao">
    <w:name w:val="versao"/>
    <w:basedOn w:val="Normal"/>
    <w:next w:val="versa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stiloTítulo1+JustificadoÀdireita:-0cmAntes:12ptDep...">
    <w:name w:val="Estilo Título 1 + Justificado À direita:  -0 cm Antes:  12 pt Dep..."/>
    <w:basedOn w:val="Título1"/>
    <w:next w:val="EstiloTítulo1+JustificadoÀdireita:-0cmAntes:12ptDep...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ffffff" w:val="pct12"/>
      <w:tabs>
        <w:tab w:val="clear" w:pos="0"/>
        <w:tab w:val="left" w:leader="none" w:pos="454"/>
        <w:tab w:val="left" w:leader="none" w:pos="567"/>
      </w:tabs>
      <w:suppressAutoHyphens w:val="0"/>
      <w:spacing w:after="120" w:before="240" w:line="240" w:lineRule="auto"/>
      <w:ind w:right="-2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character" w:styleId="InfoBlueChar">
    <w:name w:val="InfoBlue Char"/>
    <w:next w:val="InfoBlueChar"/>
    <w:autoRedefine w:val="0"/>
    <w:hidden w:val="0"/>
    <w:qFormat w:val="0"/>
    <w:rPr>
      <w:i w:val="1"/>
      <w:color w:val="0000ff"/>
      <w:w w:val="100"/>
      <w:position w:val="-1"/>
      <w:effect w:val="none"/>
      <w:vertAlign w:val="baseline"/>
      <w:cs w:val="0"/>
      <w:em w:val="none"/>
      <w:lang w:bidi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Ufx4PjF7XpLS/p1/1PJ1UTGXUg==">AMUW2mVfiwTix3GxP6pNbi7Bl0TnZkhidh5v+9aXvIpGcuaOeVFEr3mxn1UJY1YOivIaZBQxmpKeGZw1vYmy571DzuMjxTN69sMjhfrBHqluDJ62EGnxouNw6v9AOaWz7Z+knXMVlaE9/LHKhYSi+4I0BQ/4KRre/Lke9K17R/89Lr9oMswfGqJs6Ir3tCm/hFDgVhRkjN5H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2007-09-13T01:15:00Z</dcterms:created>
  <dc:creator>UFLATEC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