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0</wp:posOffset>
            </wp:positionV>
            <wp:extent cx="1105217" cy="1116053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217" cy="11160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SCC - Sistema de Controle de Concessionária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Honda Estrela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DOCUMENTO DE CASO DE USO: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DCU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825.826771653543" w:hanging="850.3937007874015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8810.07874015748" w:hanging="228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8810.07874015748" w:hanging="228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Natalia Pitanga Xavier</w:t>
      </w:r>
    </w:p>
    <w:p w:rsidR="00000000" w:rsidDel="00000000" w:rsidP="00000000" w:rsidRDefault="00000000" w:rsidRPr="00000000" w14:paraId="00000017">
      <w:pPr>
        <w:ind w:left="8810.07874015748" w:hanging="228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03/05/2022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1604010" cy="874395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Cachoeiro do Itapemirim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http://www.ci.ifes.br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1.3.1</w:t>
            <w:tab/>
            <w:t xml:space="preserve">Venda registrada no sistema                                                                                                              3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1.3.2</w:t>
            <w:tab/>
            <w:t xml:space="preserve">Nome do funcionário responsável vinculado a venda                                                                       3                                                                                                                         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left" w:pos="1200"/>
              <w:tab w:val="right" w:pos="9061"/>
            </w:tabs>
            <w:ind w:left="480" w:right="-10.8661417322827" w:firstLine="0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1.3.3</w:t>
            <w:tab/>
          </w:r>
          <w:hyperlink r:id="rId11"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Gerente/Funcionário Logado no Sistema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                                                                                          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EXECUÇÃO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Já foi paga comissão naquela semana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. </w:t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(Regra de negócio 3)                                                            3</w:t>
            <w:br w:type="textWrapping"/>
            <w:t xml:space="preserve">2.2.2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O valor da venda ainda não foi pago.</w:t>
          </w:r>
          <w:hyperlink w:anchor="_heading=h.z337ya">
            <w:r w:rsidDel="00000000" w:rsidR="00000000" w:rsidRPr="00000000">
              <w:rPr>
                <w:sz w:val="20"/>
                <w:szCs w:val="20"/>
                <w:rtl w:val="0"/>
              </w:rPr>
              <w:t xml:space="preserve"> (Regra de negócio 4)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Registro da comissão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pos="432"/>
          <w:tab w:val="right" w:pos="9360"/>
        </w:tabs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Uso: 04 - Cálculo de Comissão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widowControl w:val="0"/>
        <w:numPr>
          <w:ilvl w:val="0"/>
          <w:numId w:val="5"/>
        </w:numPr>
        <w:shd w:fill="d9d9d9" w:val="clear"/>
        <w:tabs>
          <w:tab w:val="left" w:pos="454"/>
        </w:tabs>
        <w:spacing w:after="120" w:before="240" w:lineRule="auto"/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Sumário</w:t>
      </w:r>
    </w:p>
    <w:p w:rsidR="00000000" w:rsidDel="00000000" w:rsidP="00000000" w:rsidRDefault="00000000" w:rsidRPr="00000000" w14:paraId="00000045">
      <w:pPr>
        <w:widowControl w:val="0"/>
        <w:spacing w:after="120" w:lineRule="auto"/>
        <w:rPr>
          <w:sz w:val="22"/>
          <w:szCs w:val="22"/>
        </w:rPr>
      </w:pPr>
      <w:bookmarkStart w:colFirst="0" w:colLast="0" w:name="_heading=h.3znysh7" w:id="0"/>
      <w:bookmarkEnd w:id="0"/>
      <w:r w:rsidDel="00000000" w:rsidR="00000000" w:rsidRPr="00000000">
        <w:rPr>
          <w:sz w:val="22"/>
          <w:szCs w:val="22"/>
          <w:rtl w:val="0"/>
        </w:rPr>
        <w:t xml:space="preserve">A venda é registrada pelo sistema junto com o nome do funcionário responsável, então a comissão é registrada automaticamente no nome dele.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Atores</w:t>
      </w:r>
    </w:p>
    <w:p w:rsidR="00000000" w:rsidDel="00000000" w:rsidP="00000000" w:rsidRDefault="00000000" w:rsidRPr="00000000" w14:paraId="00000047">
      <w:pPr>
        <w:widowControl w:val="0"/>
        <w:spacing w:after="120" w:lineRule="auto"/>
        <w:rPr>
          <w:sz w:val="22"/>
          <w:szCs w:val="22"/>
        </w:rPr>
      </w:pPr>
      <w:bookmarkStart w:colFirst="0" w:colLast="0" w:name="_heading=h.2et92p0" w:id="1"/>
      <w:bookmarkEnd w:id="1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Gerente e funcionário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Pré-Condições</w:t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 seção descreve um estado ou ação anterior necessária para execução do caso de uso.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tabs>
          <w:tab w:val="left" w:pos="1200"/>
          <w:tab w:val="right" w:pos="9061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Venda registrada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que seja possível gerar a comissão uma venda tem que ter sido registrada no sistema previamente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tabs>
          <w:tab w:val="left" w:pos="1200"/>
          <w:tab w:val="right" w:pos="9061"/>
        </w:tabs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Nome do funcionário responsável vinculado a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que seja possível gerar a comissão para um determinado funcionário, o nome dele tem que ter sido registrado no ato da venda.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5"/>
        </w:numPr>
        <w:spacing w:after="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Gerente/Funcionário Logado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sz w:val="22"/>
          <w:szCs w:val="22"/>
          <w:rtl w:val="0"/>
        </w:rPr>
        <w:t xml:space="preserve">O Gerente/Funcionário deve estar previamente logado no sistema.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widowControl w:val="0"/>
        <w:numPr>
          <w:ilvl w:val="0"/>
          <w:numId w:val="5"/>
        </w:numPr>
        <w:shd w:fill="d9d9d9" w:val="clear"/>
        <w:tabs>
          <w:tab w:val="left" w:pos="454"/>
        </w:tabs>
        <w:spacing w:after="120" w:before="240" w:lineRule="auto"/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FLUXOS DE EXECUÇÃO</w:t>
      </w:r>
    </w:p>
    <w:p w:rsidR="00000000" w:rsidDel="00000000" w:rsidP="00000000" w:rsidRDefault="00000000" w:rsidRPr="00000000" w14:paraId="00000052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  <w:t xml:space="preserve">Esta seção contém uma descrição do fluxo de execução que o caso de uso representa.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Fluxo Principal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Este é o fluxo para o caso de sucesso. Não são considerados neste fluxo os erros ou desvios passíveis de acontecer.</w:t>
      </w:r>
    </w:p>
    <w:tbl>
      <w:tblPr>
        <w:tblStyle w:val="Table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deseja consultar e pagar a comissão do funcionário.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gerente seleciona o funcionário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exibe o código do funcionário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gerente seleciona a data de início e de término da comissão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lista as comissões para o funcionário selecionado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o valor total das comissões no período selecionado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gerente aprova a comissão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verifica se já foi feito pagamento naquela semana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funcionário recebe a comissão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dá baixa na comissão recebida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registra a data que que uma comissão foi paga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confirma o pagamento da comissão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Fluxos Alternativos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Este é o fluxo para o caso de desvio do fluxo ótimo.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tabs>
          <w:tab w:val="left" w:pos="1200"/>
          <w:tab w:val="right" w:pos="9061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Uma</w:t>
      </w:r>
      <w:hyperlink w:anchor="_heading=h.z337ya">
        <w:r w:rsidDel="00000000" w:rsidR="00000000" w:rsidRPr="00000000">
          <w:rPr>
            <w:b w:val="1"/>
            <w:sz w:val="22"/>
            <w:szCs w:val="22"/>
            <w:rtl w:val="0"/>
          </w:rPr>
          <w:t xml:space="preserve"> comissão já foi paga naquela semana (Regra de negócio 3)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10a: Uma comissão já foi paga naquela semana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gerente informa que uma comissão já foi paga naquela semana</w:t>
              <w:br w:type="textWrapping"/>
              <w:t xml:space="preserve">Retorna ao passo 11 do caso de uso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tabs>
          <w:tab w:val="left" w:pos="1200"/>
          <w:tab w:val="right" w:pos="9061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 valor da venda ainda não foi pago</w:t>
      </w:r>
      <w:hyperlink w:anchor="_heading=h.z337ya">
        <w:r w:rsidDel="00000000" w:rsidR="00000000" w:rsidRPr="00000000">
          <w:rPr>
            <w:b w:val="1"/>
            <w:sz w:val="22"/>
            <w:szCs w:val="22"/>
            <w:rtl w:val="0"/>
          </w:rPr>
          <w:t xml:space="preserve"> pelo cliente (Regra de negócio 4)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11a: O pagamento ainda não foi feito pelo cliente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gerente informa que o pagamento ainda não foi feito para aquela venda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gerente confere os dados mostrados no sistema</w:t>
              <w:br w:type="textWrapping"/>
              <w:t xml:space="preserve">Retorna ao passo 12 do caso de uso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widowControl w:val="0"/>
        <w:numPr>
          <w:ilvl w:val="0"/>
          <w:numId w:val="5"/>
        </w:numPr>
        <w:shd w:fill="d9d9d9" w:val="clear"/>
        <w:tabs>
          <w:tab w:val="left" w:pos="454"/>
        </w:tabs>
        <w:spacing w:after="120" w:before="240" w:lineRule="auto"/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PÓS-CONDIÇÕES</w:t>
      </w:r>
    </w:p>
    <w:p w:rsidR="00000000" w:rsidDel="00000000" w:rsidP="00000000" w:rsidRDefault="00000000" w:rsidRPr="00000000" w14:paraId="0000006F">
      <w:pPr>
        <w:rPr>
          <w:color w:val="0000ff"/>
        </w:rPr>
      </w:pPr>
      <w:bookmarkStart w:colFirst="0" w:colLast="0" w:name="_heading=h.z337ya" w:id="2"/>
      <w:bookmarkEnd w:id="2"/>
      <w:r w:rsidDel="00000000" w:rsidR="00000000" w:rsidRPr="00000000">
        <w:rPr>
          <w:rtl w:val="0"/>
        </w:rPr>
        <w:t xml:space="preserve">As pós-condições especificam a situação (ou ação) final do negócio após o fluxo de trabalho ótimo.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Registro da Comissão</w:t>
      </w:r>
    </w:p>
    <w:p w:rsidR="00000000" w:rsidDel="00000000" w:rsidP="00000000" w:rsidRDefault="00000000" w:rsidRPr="00000000" w14:paraId="00000071">
      <w:pPr>
        <w:widowControl w:val="0"/>
        <w:spacing w:after="120" w:lineRule="auto"/>
        <w:rPr/>
      </w:pPr>
      <w:r w:rsidDel="00000000" w:rsidR="00000000" w:rsidRPr="00000000">
        <w:rPr>
          <w:rtl w:val="0"/>
        </w:rPr>
        <w:t xml:space="preserve">A comissão é registrada no sistema. A comissão é vinculada ao funcionário que realizou a venda. O gerente aprova o pagamento para o funcionário responsável pela venda. O sistema dá baixa na comissão.</w:t>
      </w:r>
    </w:p>
    <w:p w:rsidR="00000000" w:rsidDel="00000000" w:rsidP="00000000" w:rsidRDefault="00000000" w:rsidRPr="00000000" w14:paraId="00000072">
      <w:pPr>
        <w:keepNext w:val="1"/>
        <w:widowControl w:val="0"/>
        <w:numPr>
          <w:ilvl w:val="0"/>
          <w:numId w:val="5"/>
        </w:numPr>
        <w:shd w:fill="d9d9d9" w:val="clear"/>
        <w:tabs>
          <w:tab w:val="left" w:pos="454"/>
        </w:tabs>
        <w:spacing w:after="120" w:before="240" w:lineRule="auto"/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73">
      <w:pPr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before="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Verificar quanto o funcionário vendeu no período selecionado.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before="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Verificar a taxa de comissão equivalente a quantidade de vendas.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before="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permitir que um funcionário receba mais de uma comissão em uma semana.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before="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comissão só poderá ser paga se o valor da venda já tiver sido recebido.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continuous"/>
      <w:pgSz w:h="16838" w:w="11906" w:orient="portrait"/>
      <w:pgMar w:bottom="1899" w:top="2383" w:left="1418" w:right="1418" w:header="709" w:footer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2.0" w:type="dxa"/>
      <w:jc w:val="left"/>
      <w:tblInd w:w="108.0" w:type="dxa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829.921875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Proposta Comercial</w:t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SCC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072.0" w:type="dxa"/>
      <w:jc w:val="left"/>
      <w:tblInd w:w="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78"/>
      <w:gridCol w:w="4394"/>
      <w:tblGridChange w:id="0">
        <w:tblGrid>
          <w:gridCol w:w="4678"/>
          <w:gridCol w:w="4394"/>
        </w:tblGrid>
      </w:tblGridChange>
    </w:tblGrid>
    <w:tr>
      <w:trPr>
        <w:cantSplit w:val="0"/>
        <w:trHeight w:val="57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Documento de Caso de Uso</w:t>
          </w:r>
        </w:p>
        <w:p w:rsidR="00000000" w:rsidDel="00000000" w:rsidP="00000000" w:rsidRDefault="00000000" w:rsidRPr="00000000" w14:paraId="00000087">
          <w:pPr>
            <w:ind w:right="360"/>
            <w:jc w:val="lef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Projeto: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SCC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versão: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8">
          <w:pPr>
            <w:jc w:val="center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88.0" w:type="dxa"/>
      <w:jc w:val="left"/>
      <w:tblInd w:w="7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cantSplit w:val="0"/>
        <w:trHeight w:val="92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942658" cy="95155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658" cy="95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0" distT="0" distL="114300" distR="114300">
                <wp:extent cx="569563" cy="763000"/>
                <wp:effectExtent b="0" l="0" r="0" t="0"/>
                <wp:docPr id="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63" cy="76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widowControl w:val="0"/>
      <w:tabs>
        <w:tab w:val="center" w:pos="4320"/>
        <w:tab w:val="right" w:pos="8640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</w:rPr>
      <w:drawing>
        <wp:inline distB="0" distT="0" distL="114300" distR="114300">
          <wp:extent cx="569563" cy="763000"/>
          <wp:effectExtent b="0" l="0" r="0" t="0"/>
          <wp:docPr id="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9563" cy="76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228600</wp:posOffset>
          </wp:positionH>
          <wp:positionV relativeFrom="paragraph">
            <wp:posOffset>-19048</wp:posOffset>
          </wp:positionV>
          <wp:extent cx="942658" cy="951550"/>
          <wp:effectExtent b="0" l="0" r="0" t="0"/>
          <wp:wrapNone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658" cy="9515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5"/>
      <w:tblW w:w="9209.0" w:type="dxa"/>
      <w:jc w:val="center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15"/>
      <w:gridCol w:w="4394"/>
      <w:tblGridChange w:id="0">
        <w:tblGrid>
          <w:gridCol w:w="4815"/>
          <w:gridCol w:w="4394"/>
        </w:tblGrid>
      </w:tblGridChange>
    </w:tblGrid>
    <w:tr>
      <w:trPr>
        <w:cantSplit w:val="1"/>
        <w:trHeight w:val="9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7D">
          <w:pPr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E">
          <w:pPr>
            <w:jc w:val="righ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hd w:color="auto" w:fill="d9d9d9" w:val="clear"/>
      <w:tabs>
        <w:tab w:val="clear" w:pos="0"/>
        <w:tab w:val="left" w:leader="none" w:pos="454"/>
      </w:tabs>
      <w:suppressAutoHyphens w:val="0"/>
      <w:spacing w:after="12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en-US"/>
    </w:rPr>
  </w:style>
  <w:style w:type="paragraph" w:styleId="Título2">
    <w:name w:val="Título 2"/>
    <w:next w:val="Normal"/>
    <w:autoRedefine w:val="0"/>
    <w:hidden w:val="0"/>
    <w:qFormat w:val="0"/>
    <w:pPr>
      <w:numPr>
        <w:ilvl w:val="1"/>
        <w:numId w:val="2"/>
      </w:numPr>
      <w:tabs>
        <w:tab w:val="clear" w:pos="0"/>
        <w:tab w:val="left" w:leader="none" w:pos="454"/>
      </w:tabs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en-US"/>
    </w:rPr>
  </w:style>
  <w:style w:type="paragraph" w:styleId="Título3">
    <w:name w:val="Título 3"/>
    <w:next w:val="Normal"/>
    <w:autoRedefine w:val="0"/>
    <w:hidden w:val="0"/>
    <w:qFormat w:val="0"/>
    <w:pPr>
      <w:numPr>
        <w:ilvl w:val="2"/>
        <w:numId w:val="2"/>
      </w:numPr>
      <w:tabs>
        <w:tab w:val="clear" w:pos="0"/>
        <w:tab w:val="left" w:leader="none" w:pos="567"/>
      </w:tabs>
      <w:suppressAutoHyphens w:val="1"/>
      <w:spacing w:after="40" w:before="8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en-U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hd w:color="auto" w:fill="d9d9d9" w:val="clear"/>
      <w:tabs>
        <w:tab w:val="clear" w:pos="0"/>
        <w:tab w:val="left" w:leader="none" w:pos="454"/>
      </w:tabs>
      <w:suppressAutoHyphens w:val="0"/>
      <w:spacing w:after="12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0"/>
      <w:caps w:val="1"/>
      <w:w w:val="100"/>
      <w:position w:val="-1"/>
      <w:sz w:val="20"/>
      <w:szCs w:val="28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6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7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-Fonteparág.padrão">
    <w:name w:val="WW-Fonte parág. padrão"/>
    <w:next w:val="WW-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WW-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6z0">
    <w:name w:val="WW8NumSt6z0"/>
    <w:next w:val="WW8NumSt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19z0">
    <w:name w:val="WW8NumSt19z0"/>
    <w:next w:val="WW8NumSt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paragraph" w:styleId="Título0">
    <w:name w:val="T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lbany" w:eastAsia="HG Mincho Light J" w:hAnsi="Albany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en-US"/>
    </w:rPr>
  </w:style>
  <w:style w:type="paragraph" w:styleId="Subtítulo">
    <w:name w:val="Subtítulo"/>
    <w:basedOn w:val="Título0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lbany" w:eastAsia="HG Mincho Light J" w:hAnsi="Albany"/>
      <w:i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InfoBlue">
    <w:name w:val="InfoBlue"/>
    <w:basedOn w:val="Normal"/>
    <w:next w:val="Normal"/>
    <w:autoRedefine w:val="0"/>
    <w:hidden w:val="0"/>
    <w:qFormat w:val="0"/>
    <w:pPr>
      <w:widowControl w:val="0"/>
      <w:suppressAutoHyphens w:val="0"/>
      <w:spacing w:after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0"/>
      <w:spacing w:line="1" w:lineRule="atLeast"/>
      <w:ind w:left="240" w:leftChars="-1" w:rightChars="0" w:firstLineChars="-1"/>
      <w:jc w:val="both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0"/>
      <w:spacing w:line="1" w:lineRule="atLeast"/>
      <w:ind w:left="480"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WW-Textosimples">
    <w:name w:val="WW-Texto simples"/>
    <w:basedOn w:val="Normal"/>
    <w:next w:val="WW-Textosimples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onteúdodatabela">
    <w:name w:val="Conteúdo da tabela"/>
    <w:basedOn w:val="Corpodetexto"/>
    <w:next w:val="Conteúdodatabela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1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versao">
    <w:name w:val="versao"/>
    <w:basedOn w:val="Normal"/>
    <w:next w:val="versa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52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0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0"/>
      <w:spacing w:line="1" w:lineRule="atLeast"/>
      <w:ind w:left="96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0"/>
      <w:spacing w:line="1" w:lineRule="atLeast"/>
      <w:ind w:left="12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0"/>
      <w:spacing w:line="1" w:lineRule="atLeast"/>
      <w:ind w:left="16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0"/>
      <w:spacing w:line="1" w:lineRule="atLeast"/>
      <w:ind w:left="19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stiloTítulo1+JustificadoÀdireita:-0cmAntes:12ptDep...">
    <w:name w:val="Estilo Título 1 + Justificado À direita:  -0 cm Antes:  12 pt Dep..."/>
    <w:basedOn w:val="Título1"/>
    <w:next w:val="EstiloTítulo1+JustificadoÀdireita:-0cmAntes:12ptDep..."/>
    <w:autoRedefine w:val="0"/>
    <w:hidden w:val="0"/>
    <w:qFormat w:val="0"/>
    <w:pPr>
      <w:keepNext w:val="1"/>
      <w:widowControl w:val="0"/>
      <w:numPr>
        <w:ilvl w:val="0"/>
        <w:numId w:val="2"/>
      </w:numPr>
      <w:shd w:color="auto" w:fill="ffffff" w:val="pct12"/>
      <w:tabs>
        <w:tab w:val="clear" w:pos="0"/>
        <w:tab w:val="left" w:leader="none" w:pos="454"/>
        <w:tab w:val="left" w:leader="none" w:pos="567"/>
      </w:tabs>
      <w:suppressAutoHyphens w:val="0"/>
      <w:spacing w:after="120" w:before="240" w:line="240" w:lineRule="auto"/>
      <w:ind w:right="-2"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en-US"/>
    </w:rPr>
  </w:style>
  <w:style w:type="character" w:styleId="InfoBlueChar">
    <w:name w:val="InfoBlue Char"/>
    <w:next w:val="InfoBlueChar"/>
    <w:autoRedefine w:val="0"/>
    <w:hidden w:val="0"/>
    <w:qFormat w:val="0"/>
    <w:rPr>
      <w:i w:val="1"/>
      <w:color w:val="0000ff"/>
      <w:w w:val="100"/>
      <w:position w:val="-1"/>
      <w:effect w:val="none"/>
      <w:vertAlign w:val="baseline"/>
      <w:cs w:val="0"/>
      <w:em w:val="none"/>
      <w:lang w:bidi="ar-SA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vd0sMfasItnyzCo19RowcM4k-ewXCzqu/edit#heading=h.35nkun2" TargetMode="External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gP13QpbDzlb7kSiOP43mGH9cAg==">AMUW2mUWmjd8U3APAWZTyQBREPeBsgUiiBl2/CqK/CW8D71arO/CnMAwWO1okR6wV0rsduLZugl0QFhpduYZQAnmgzFJsoRg/jd3Q/JufnrkGZO2fw9a6uub996U2PHkwj2Qz5v+OvF5d7Y7ha0o2AmHybssokUGxw==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2007-09-13T01:15:00Z</dcterms:created>
  <dc:creator>UFLATEC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