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1120"/>
      <w:bookmarkStart w:id="3" w:name="_Toc17657"/>
      <w:bookmarkStart w:id="4" w:name="_Toc10920"/>
      <w:bookmarkStart w:id="5" w:name="_Toc1948"/>
      <w:bookmarkStart w:id="6" w:name="_Toc23934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22772"/>
      <w:bookmarkStart w:id="10" w:name="_Toc13234"/>
      <w:bookmarkStart w:id="11" w:name="_Toc21477"/>
      <w:bookmarkStart w:id="12" w:name="_Toc20141"/>
      <w:bookmarkStart w:id="13" w:name="_Toc8500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16052"/>
      <w:bookmarkStart w:id="15" w:name="_Toc860"/>
      <w:bookmarkStart w:id="16" w:name="_Toc4288"/>
      <w:bookmarkStart w:id="17" w:name="_Toc25787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GoBack"/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3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4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6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7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2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3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6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7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6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7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新的JSDoc命令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执行：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88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9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0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 GALV SRD MOG/DRILL ，还有web官网80多页的发布区的帖子里的所有插件，我通通都很仔细的看过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Electron：和webpack融合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https://blog.csdn.net/GY_U_YG/article/details/122364841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https://github.com/electron-userland/electron-webpack-quick-start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9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5683"/>
      <w:bookmarkEnd w:id="99"/>
      <w:r>
        <w:rPr>
          <w:rFonts w:hint="eastAsia" w:cs="Calibri"/>
          <w:sz w:val="21"/>
          <w:szCs w:val="21"/>
          <w:lang w:val="en-US" w:eastAsia="zh-CN"/>
        </w:rPr>
        <w:t>L2d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1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C376F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A4A4C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AD5627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34DB8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123E98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422A2E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0997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5F5B77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4D42F1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11601</Words>
  <Characters>23418</Characters>
  <Lines>0</Lines>
  <Paragraphs>0</Paragraphs>
  <TotalTime>124</TotalTime>
  <ScaleCrop>false</ScaleCrop>
  <LinksUpToDate>false</LinksUpToDate>
  <CharactersWithSpaces>24426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2022-04-23T03:27:25Z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379FF158D56D4CAFA30C4822E8AD3804</vt:lpwstr>
  </property>
</Properties>
</file>