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948"/>
      <w:bookmarkStart w:id="3" w:name="_Toc23934"/>
      <w:bookmarkStart w:id="4" w:name="_Toc17657"/>
      <w:bookmarkStart w:id="5" w:name="_Toc11120"/>
      <w:bookmarkStart w:id="6" w:name="_Toc10920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13234"/>
      <w:bookmarkStart w:id="10" w:name="_Toc21477"/>
      <w:bookmarkStart w:id="11" w:name="_Toc8500"/>
      <w:bookmarkStart w:id="12" w:name="_Toc22772"/>
      <w:bookmarkStart w:id="13" w:name="_Toc20141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25787"/>
      <w:bookmarkStart w:id="15" w:name="_Toc860"/>
      <w:bookmarkStart w:id="16" w:name="_Toc16052"/>
      <w:bookmarkStart w:id="17" w:name="_Toc4288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4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5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6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8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9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0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1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2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3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4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45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46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47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48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5" w:name="_GoBack"/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5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5683"/>
      <w:bookmarkEnd w:id="54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38">
    <w:p>
      <w:r>
        <w:separator/>
      </w:r>
    </w:p>
  </w:footnote>
  <w:footnote w:type="continuationSeparator" w:id="39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5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6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7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9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6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7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38"/>
    <w:footnote w:id="39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NjRiZTk5YzQ3MmU1OTgwYzNjNGZjY2M3NjdhYmIifQ=="/>
  </w:docVars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11534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7023F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AD5627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34DB8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5D6E4D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557C1C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7F55A2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A35EE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422A2E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3F753E9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5458B8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B5779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37194B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5F5B77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060762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4D42F1"/>
    <w:rsid w:val="5C636061"/>
    <w:rsid w:val="5C972EB8"/>
    <w:rsid w:val="5C9D1F45"/>
    <w:rsid w:val="5CBF1D17"/>
    <w:rsid w:val="5CDF477A"/>
    <w:rsid w:val="5CDF7CC8"/>
    <w:rsid w:val="5CF0588C"/>
    <w:rsid w:val="5D00425C"/>
    <w:rsid w:val="5D1859F9"/>
    <w:rsid w:val="5D186097"/>
    <w:rsid w:val="5D2407F8"/>
    <w:rsid w:val="5D425496"/>
    <w:rsid w:val="5D454CB6"/>
    <w:rsid w:val="5D83037A"/>
    <w:rsid w:val="5D8C4530"/>
    <w:rsid w:val="5DB055F5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E01C6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AFE552F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6296</Words>
  <Characters>12342</Characters>
  <Lines>0</Lines>
  <Paragraphs>0</Paragraphs>
  <TotalTime>250</TotalTime>
  <ScaleCrop>false</ScaleCrop>
  <LinksUpToDate>false</LinksUpToDate>
  <CharactersWithSpaces>12953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2022-06-13T09:50:45Z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379FF158D56D4CAFA30C4822E8AD3804</vt:lpwstr>
  </property>
</Properties>
</file>