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111111"/>
          <w:sz w:val="28"/>
          <w:szCs w:val="28"/>
        </w:rPr>
        <w:t xml:space="preserve">IV. Modelo de Dados</w:t>
      </w:r>
    </w:p>
    <w:p>
      <w:pPr>
        <w:spacing w:after="160" w:before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base de dados do Mercantec é implementada em MySQL e organiza a informação em grupos funcionais coerentes. Cada grupo de tabelas cobre um domínio específico do sistema — autenticação, recursos humanos, inventário, vendas, finanças, clientes e infraestrutura interna. As tabelas comunicam entre si por chaves estrangeiras, o que garante integridade referencial e evita dados órfãos. A figura seguinte apresenta uma visão geral do esquema:</w:t>
      </w:r>
    </w:p>
    <w:p>
      <w:pPr>
        <w:spacing w:after="0" w:before="160"/>
      </w:pPr>
      <w:r>
        <w:t xml:space="preserve"/>
      </w:r>
    </w:p>
    <w:tbl>
      <w:tblPr>
        <w:tblW w:type="dxa" w:w="878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87"/>
      </w:tblGrid>
      <w:tr>
        <w:tc>
          <w:tcPr>
            <w:tcW w:type="dxa" w:w="878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0F0" w:val="clear"/>
            <w:tcMar>
              <w:top w:type="dxa" w:w="400"/>
              <w:left w:type="dxa" w:w="200"/>
              <w:bottom w:type="dxa" w:w="4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888888"/>
                <w:sz w:val="20"/>
                <w:szCs w:val="20"/>
              </w:rPr>
              <w:t xml:space="preserve">[ Fotografia 1 — Diagrama entidade-relação completo da base de dados Mercantec (captura do phpMyAdmin ou ferramenta de modelação) ]</w:t>
            </w:r>
          </w:p>
        </w:tc>
      </w:tr>
    </w:tbl>
    <w:p>
      <w:pPr>
        <w:spacing w:after="280" w:before="8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Figura 1 — Diagrama entidade-relação da base de dados supermercado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a1a1a"/>
          <w:sz w:val="26"/>
          <w:szCs w:val="26"/>
        </w:rPr>
        <w:t xml:space="preserve">4.1 Autenticação e Controlo de Acesso</w:t>
      </w:r>
    </w:p>
    <w:p>
      <w:pPr>
        <w:spacing w:after="160" w:before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Três tabelas gerem quem pode entrar na aplicação e o que pode fazer. A separação entre utilizadores, perfis e sessões segue o princípio do menor privilégio: cada conta recebe apenas as permissões necessárias para o seu cargo.</w:t>
      </w:r>
    </w:p>
    <w:p>
      <w:pPr>
        <w:spacing w:after="0" w:before="80"/>
      </w:pPr>
      <w:r>
        <w:t xml:space="preserve"/>
      </w:r>
    </w:p>
    <w:tbl>
      <w:tblPr>
        <w:tblW w:type="dxa" w:w="878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2787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Função principal</w:t>
            </w:r>
          </w:p>
        </w:tc>
        <w:tc>
          <w:tcPr>
            <w:tcW w:type="dxa" w:w="27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Campos-chave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278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</w:t>
            </w:r>
          </w:p>
        </w:tc>
        <w:tc>
          <w:tcPr>
            <w:tcW w:type="dxa" w:w="278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  <w:tc>
          <w:tcPr>
            <w:tcW w:type="dxa" w:w="278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60" w:before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tabela users guarda apenas o hash bcrypt da password — nunca o valor em claro. O campo role_id liga cada conta à tabela roles, que define as permissões. A tabela sessions regista o token de sessão gerado no login e a data de expiração; quando o utilizador termina a sessão ou o token expira, o registo é eliminado.</w:t>
      </w:r>
    </w:p>
    <w:p>
      <w:pPr>
        <w:spacing w:after="0" w:before="80"/>
      </w:pPr>
      <w:r>
        <w:t xml:space="preserve"/>
      </w:r>
    </w:p>
    <w:tbl>
      <w:tblPr>
        <w:tblW w:type="dxa" w:w="878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87"/>
      </w:tblGrid>
      <w:tr>
        <w:tc>
          <w:tcPr>
            <w:tcW w:type="dxa" w:w="878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0F0" w:val="clear"/>
            <w:tcMar>
              <w:top w:type="dxa" w:w="400"/>
              <w:left w:type="dxa" w:w="200"/>
              <w:bottom w:type="dxa" w:w="4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888888"/>
                <w:sz w:val="20"/>
                <w:szCs w:val="20"/>
              </w:rPr>
              <w:t xml:space="preserve">[ Fotografia 2 — Tabela users e roles no phpMyAdmin: estrutura de colunas e dados de exemplo ]</w:t>
            </w:r>
          </w:p>
        </w:tc>
      </w:tr>
    </w:tbl>
    <w:p>
      <w:pPr>
        <w:spacing w:after="280" w:before="8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Figura 2 — Estrutura das tabelas de autenticação no phpMyAdmin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a1a1a"/>
          <w:sz w:val="26"/>
          <w:szCs w:val="26"/>
        </w:rPr>
        <w:t xml:space="preserve">4.2 Recursos Humanos e Gestão de Pessoal</w:t>
      </w:r>
    </w:p>
    <w:p>
      <w:pPr>
        <w:spacing w:after="160" w:before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módulo de RH é o mais extenso da base de dados, com nove tabelas interligadas. O ponto central é employees, que guarda a ficha completa de cada funcionário. As restantes tabelas registam o ciclo de vida laboral: horários, assiduidade, pausas, faltas, salários e férias.</w:t>
      </w:r>
    </w:p>
    <w:p>
      <w:pPr>
        <w:spacing w:after="0" w:before="80"/>
      </w:pPr>
      <w:r>
        <w:t xml:space="preserve"/>
      </w:r>
    </w:p>
    <w:tbl>
      <w:tblPr>
        <w:tblW w:type="dxa" w:w="878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787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57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Descrição detalhada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</w:t>
            </w:r>
          </w:p>
        </w:tc>
        <w:tc>
          <w:tcPr>
            <w:tcW w:type="dxa" w:w="578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  <w:tc>
          <w:tcPr>
            <w:tcW w:type="dxa" w:w="578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  <w:tc>
          <w:tcPr>
            <w:tcW w:type="dxa" w:w="578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78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78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78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</w:t>
            </w:r>
          </w:p>
        </w:tc>
        <w:tc>
          <w:tcPr>
            <w:tcW w:type="dxa" w:w="578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</w:t>
            </w:r>
          </w:p>
        </w:tc>
        <w:tc>
          <w:tcPr>
            <w:tcW w:type="dxa" w:w="578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</w:t>
            </w:r>
          </w:p>
        </w:tc>
        <w:tc>
          <w:tcPr>
            <w:tcW w:type="dxa" w:w="578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60" w:before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fluxo típico é o seguinte: o responsável define os turnos em shifts e cria o horário semanal em schedules. O funcionário regista a entrada e saída via attendance. No final do mês, o sistema agrega os dados de attendance e absences para calcular o payroll.</w:t>
      </w:r>
    </w:p>
    <w:p>
      <w:pPr>
        <w:spacing w:after="0" w:before="80"/>
      </w:pPr>
      <w:r>
        <w:t xml:space="preserve"/>
      </w:r>
    </w:p>
    <w:tbl>
      <w:tblPr>
        <w:tblW w:type="dxa" w:w="878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87"/>
      </w:tblGrid>
      <w:tr>
        <w:tc>
          <w:tcPr>
            <w:tcW w:type="dxa" w:w="878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0F0" w:val="clear"/>
            <w:tcMar>
              <w:top w:type="dxa" w:w="400"/>
              <w:left w:type="dxa" w:w="200"/>
              <w:bottom w:type="dxa" w:w="4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888888"/>
                <w:sz w:val="20"/>
                <w:szCs w:val="20"/>
              </w:rPr>
              <w:t xml:space="preserve">[ Fotografia 3 — Módulo de RH na aplicação: listagem de funcionários com ficha detalhada aberta ]</w:t>
            </w:r>
          </w:p>
        </w:tc>
      </w:tr>
    </w:tbl>
    <w:p>
      <w:pPr>
        <w:spacing w:after="280" w:before="8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Figura 3 — Interface do módulo de Recursos Humanos (modules/rh.php)</w:t>
      </w:r>
    </w:p>
    <w:p>
      <w:pPr>
        <w:spacing w:after="0" w:before="120"/>
      </w:pPr>
      <w:r>
        <w:t xml:space="preserve"/>
      </w:r>
    </w:p>
    <w:tbl>
      <w:tblPr>
        <w:tblW w:type="dxa" w:w="878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87"/>
      </w:tblGrid>
      <w:tr>
        <w:tc>
          <w:tcPr>
            <w:tcW w:type="dxa" w:w="878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0F0" w:val="clear"/>
            <w:tcMar>
              <w:top w:type="dxa" w:w="400"/>
              <w:left w:type="dxa" w:w="200"/>
              <w:bottom w:type="dxa" w:w="4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888888"/>
                <w:sz w:val="20"/>
                <w:szCs w:val="20"/>
              </w:rPr>
              <w:t xml:space="preserve">[ Fotografia 4 — Módulo de ponto: registo de entradas e saídas de um funcionário ]</w:t>
            </w:r>
          </w:p>
        </w:tc>
      </w:tr>
    </w:tbl>
    <w:p>
      <w:pPr>
        <w:spacing w:after="280" w:before="8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Figura 4 — Interface do módulo de Ponto de Assiduidade (modules/ponto.php)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a1a1a"/>
          <w:sz w:val="26"/>
          <w:szCs w:val="26"/>
        </w:rPr>
        <w:t xml:space="preserve">4.3 Produtos e Inventário</w:t>
      </w:r>
    </w:p>
    <w:p>
      <w:pPr>
        <w:spacing w:after="160" w:before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inventário assenta em seis tabelas. A tabela products é o catálogo central; as restantes registam onde os produtos são vendidos, de onde vêm, como o stock muda e como os preços evoluem ao longo do tempo.</w:t>
      </w:r>
    </w:p>
    <w:p>
      <w:pPr>
        <w:spacing w:after="0" w:before="80"/>
      </w:pPr>
      <w:r>
        <w:t xml:space="preserve"/>
      </w:r>
    </w:p>
    <w:tbl>
      <w:tblPr>
        <w:tblW w:type="dxa" w:w="878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187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Campos principais</w:t>
            </w:r>
          </w:p>
        </w:tc>
        <w:tc>
          <w:tcPr>
            <w:tcW w:type="dxa" w:w="3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318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318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318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</w:t>
            </w:r>
          </w:p>
        </w:tc>
        <w:tc>
          <w:tcPr>
            <w:tcW w:type="dxa" w:w="318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</w:t>
            </w:r>
          </w:p>
        </w:tc>
        <w:tc>
          <w:tcPr>
            <w:tcW w:type="dxa" w:w="318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</w:t>
            </w:r>
          </w:p>
        </w:tc>
        <w:tc>
          <w:tcPr>
            <w:tcW w:type="dxa" w:w="318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60" w:before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Sempre que uma venda é registada no PDV, o sistema decrementa o stock do produto em products e insere uma linha em stock_movements com type = "saída". Quando chega uma encomenda de um fornecedor, o stock sobe e é inserida uma linha com type = "entrada". Esta rastreabilidade permite auditar o stock em qualquer momento histórico.</w:t>
      </w:r>
    </w:p>
    <w:p>
      <w:pPr>
        <w:spacing w:after="0" w:before="80"/>
      </w:pPr>
      <w:r>
        <w:t xml:space="preserve"/>
      </w:r>
    </w:p>
    <w:tbl>
      <w:tblPr>
        <w:tblW w:type="dxa" w:w="878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87"/>
      </w:tblGrid>
      <w:tr>
        <w:tc>
          <w:tcPr>
            <w:tcW w:type="dxa" w:w="878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0F0" w:val="clear"/>
            <w:tcMar>
              <w:top w:type="dxa" w:w="400"/>
              <w:left w:type="dxa" w:w="200"/>
              <w:bottom w:type="dxa" w:w="4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888888"/>
                <w:sz w:val="20"/>
                <w:szCs w:val="20"/>
              </w:rPr>
              <w:t xml:space="preserve">[ Fotografia 5 — Lista de produtos na aplicação com stock atual, preço e indicador de stock baixo visível ]</w:t>
            </w:r>
          </w:p>
        </w:tc>
      </w:tr>
    </w:tbl>
    <w:p>
      <w:pPr>
        <w:spacing w:after="280" w:before="8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Figura 5 — Interface de gestão de produtos (modules/produtos.php)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a1a1a"/>
          <w:sz w:val="26"/>
          <w:szCs w:val="26"/>
        </w:rPr>
        <w:t xml:space="preserve">4.4 Categorias de Produto</w:t>
      </w:r>
    </w:p>
    <w:p>
      <w:pPr>
        <w:spacing w:after="160" w:before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base de dados inclui tabelas auxiliares para cada categoria de produto: bebidas, congelados, frutas, higiene, laticinios, limpeza, mercearia e padaria. A tabela all_products agrega todas. Estas tabelas funcionam como vistas (views) ou tabelas de suporte que filtram products por categoria, o que simplifica as queries de listagem por secção. A estrutura permite adicionar novas categorias sem alterar o esquema principal.</w:t>
      </w:r>
    </w:p>
    <w:p>
      <w:pPr>
        <w:spacing w:after="0" w:before="80"/>
      </w:pPr>
      <w:r>
        <w:t xml:space="preserve"/>
      </w:r>
    </w:p>
    <w:tbl>
      <w:tblPr>
        <w:tblW w:type="dxa" w:w="878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87"/>
      </w:tblGrid>
      <w:tr>
        <w:tc>
          <w:tcPr>
            <w:tcW w:type="dxa" w:w="878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0F0" w:val="clear"/>
            <w:tcMar>
              <w:top w:type="dxa" w:w="400"/>
              <w:left w:type="dxa" w:w="200"/>
              <w:bottom w:type="dxa" w:w="4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888888"/>
                <w:sz w:val="20"/>
                <w:szCs w:val="20"/>
              </w:rPr>
              <w:t xml:space="preserve">[ Fotografia 6 — Exemplo de filtragem por categoria no módulo de produtos ou no PDV ]</w:t>
            </w:r>
          </w:p>
        </w:tc>
      </w:tr>
    </w:tbl>
    <w:p>
      <w:pPr>
        <w:spacing w:after="280" w:before="8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Figura 6 — Filtragem de produtos por categoria na interface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a1a1a"/>
          <w:sz w:val="26"/>
          <w:szCs w:val="26"/>
        </w:rPr>
        <w:t xml:space="preserve">4.5 Vendas e Ponto de Venda</w:t>
      </w:r>
    </w:p>
    <w:p>
      <w:pPr>
        <w:spacing w:after="160" w:before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subsistema de vendas é o mais crítico em termos de desempenho e integridade de dados. Uma venda envolve sempre pelo menos três tabelas: o cabeçalho (sales), as linhas de artigos (sale_items) e o recibo emitido (receipts). O processo é atómico — se qualquer parte falhar, toda a transação é revertida.</w:t>
      </w:r>
    </w:p>
    <w:p>
      <w:pPr>
        <w:spacing w:after="0" w:before="80"/>
      </w:pPr>
      <w:r>
        <w:t xml:space="preserve"/>
      </w:r>
    </w:p>
    <w:tbl>
      <w:tblPr>
        <w:tblW w:type="dxa" w:w="878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787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57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Descrição detalhada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  <w:tc>
          <w:tcPr>
            <w:tcW w:type="dxa" w:w="578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  <w:tc>
          <w:tcPr>
            <w:tcW w:type="dxa" w:w="578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578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578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578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578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578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  <w:tc>
          <w:tcPr>
            <w:tcW w:type="dxa" w:w="578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60" w:before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campo price em sale_items guarda o preço no momento da transação. Isto é fundamental: se o preço do produto mudar amanhã, o recibo de hoje continua correto. Da mesma forma, receipt_payments permite registar pagamentos parciais em múltiplos métodos, o que acontece quando um cliente paga parte em dinheiro e parte com voucher.</w:t>
      </w:r>
    </w:p>
    <w:p>
      <w:pPr>
        <w:spacing w:after="0" w:before="80"/>
      </w:pPr>
      <w:r>
        <w:t xml:space="preserve"/>
      </w:r>
    </w:p>
    <w:tbl>
      <w:tblPr>
        <w:tblW w:type="dxa" w:w="878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87"/>
      </w:tblGrid>
      <w:tr>
        <w:tc>
          <w:tcPr>
            <w:tcW w:type="dxa" w:w="878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0F0" w:val="clear"/>
            <w:tcMar>
              <w:top w:type="dxa" w:w="400"/>
              <w:left w:type="dxa" w:w="200"/>
              <w:bottom w:type="dxa" w:w="4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888888"/>
                <w:sz w:val="20"/>
                <w:szCs w:val="20"/>
              </w:rPr>
              <w:t xml:space="preserve">[ Fotografia 7 — Interface do PDV com carrinho de compras, métodos de pagamento e cálculo de troco ]</w:t>
            </w:r>
          </w:p>
        </w:tc>
      </w:tr>
    </w:tbl>
    <w:p>
      <w:pPr>
        <w:spacing w:after="280" w:before="8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Figura 7 — Interface do Ponto de Venda (CAIXA/index.php)</w:t>
      </w:r>
    </w:p>
    <w:p>
      <w:pPr>
        <w:spacing w:after="0" w:before="120"/>
      </w:pPr>
      <w:r>
        <w:t xml:space="preserve"/>
      </w:r>
    </w:p>
    <w:tbl>
      <w:tblPr>
        <w:tblW w:type="dxa" w:w="878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87"/>
      </w:tblGrid>
      <w:tr>
        <w:tc>
          <w:tcPr>
            <w:tcW w:type="dxa" w:w="878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0F0" w:val="clear"/>
            <w:tcMar>
              <w:top w:type="dxa" w:w="400"/>
              <w:left w:type="dxa" w:w="200"/>
              <w:bottom w:type="dxa" w:w="4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888888"/>
                <w:sz w:val="20"/>
                <w:szCs w:val="20"/>
              </w:rPr>
              <w:t xml:space="preserve">[ Fotografia 8 — Recibo gerado após finalização de uma venda, com detalhe de artigos e pagamento ]</w:t>
            </w:r>
          </w:p>
        </w:tc>
      </w:tr>
    </w:tbl>
    <w:p>
      <w:pPr>
        <w:spacing w:after="280" w:before="8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Figura 8 — Recibo de venda imprimível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a1a1a"/>
          <w:sz w:val="26"/>
          <w:szCs w:val="26"/>
        </w:rPr>
        <w:t xml:space="preserve">4.6 Controlo Financeiro</w:t>
      </w:r>
    </w:p>
    <w:p>
      <w:pPr>
        <w:spacing w:after="160" w:before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subsistema financeiro regista todos os movimentos de dinheiro na loja, do fundo de caixa inicial às retiradas intercalares, e calcula o lucro diário com base nas vendas e nos custos registados.</w:t>
      </w:r>
    </w:p>
    <w:p>
      <w:pPr>
        <w:spacing w:after="0" w:before="80"/>
      </w:pPr>
      <w:r>
        <w:t xml:space="preserve"/>
      </w:r>
    </w:p>
    <w:tbl>
      <w:tblPr>
        <w:tblW w:type="dxa" w:w="878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787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57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Descrição detalhada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</w:t>
            </w:r>
          </w:p>
        </w:tc>
        <w:tc>
          <w:tcPr>
            <w:tcW w:type="dxa" w:w="578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78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78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78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78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</w:t>
            </w:r>
          </w:p>
        </w:tc>
        <w:tc>
          <w:tcPr>
            <w:tcW w:type="dxa" w:w="578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60" w:before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Quando um turno de caixa fecha, o sistema soma todos os cash_movements desse turno e compara com o valor introduzido pelo operador. A diferença fica registada em cash_register_shifts e gera um alerta automático se exceder a tolerância configurada.</w:t>
      </w:r>
    </w:p>
    <w:p>
      <w:pPr>
        <w:spacing w:after="0" w:before="80"/>
      </w:pPr>
      <w:r>
        <w:t xml:space="preserve"/>
      </w:r>
    </w:p>
    <w:tbl>
      <w:tblPr>
        <w:tblW w:type="dxa" w:w="878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87"/>
      </w:tblGrid>
      <w:tr>
        <w:tc>
          <w:tcPr>
            <w:tcW w:type="dxa" w:w="878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0F0" w:val="clear"/>
            <w:tcMar>
              <w:top w:type="dxa" w:w="400"/>
              <w:left w:type="dxa" w:w="200"/>
              <w:bottom w:type="dxa" w:w="4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888888"/>
                <w:sz w:val="20"/>
                <w:szCs w:val="20"/>
              </w:rPr>
              <w:t xml:space="preserve">[ Fotografia 9 — Ecrã de fecho de turno com resumo de vendas, pagamentos por método e diferença de caixa ]</w:t>
            </w:r>
          </w:p>
        </w:tc>
      </w:tr>
    </w:tbl>
    <w:p>
      <w:pPr>
        <w:spacing w:after="280" w:before="8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Figura 9 — Fecho de turno de caixa (CAIXA/turno.php)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a1a1a"/>
          <w:sz w:val="26"/>
          <w:szCs w:val="26"/>
        </w:rPr>
        <w:t xml:space="preserve">4.7 Encomendas, Clientes e Cupões</w:t>
      </w:r>
    </w:p>
    <w:p>
      <w:pPr>
        <w:spacing w:after="160" w:before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Este grupo combina a gestão de encomendas a fornecedores com o programa de clientes registados e os cupões de desconto. São domínios distintos mas partilham o mesmo grupo por envolverem entidades externas à loja.</w:t>
      </w:r>
    </w:p>
    <w:p>
      <w:pPr>
        <w:spacing w:after="0" w:before="80"/>
      </w:pPr>
      <w:r>
        <w:t xml:space="preserve"/>
      </w:r>
    </w:p>
    <w:tbl>
      <w:tblPr>
        <w:tblW w:type="dxa" w:w="878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987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59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598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598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98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98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98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60" w:before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Quando o stock de um produto cai abaixo de min_stock, a função auto_reorder cria automaticamente um registo em orders com o fornecedor associado a esse produto e uma quantidade sugerida. O responsável revê a encomenda e confirma o envio. Ao receber a mercadoria, o campo received_quantity em order_items é preenchido e o stock em products é incrementado.</w:t>
      </w:r>
    </w:p>
    <w:p>
      <w:pPr>
        <w:spacing w:after="0" w:before="80"/>
      </w:pPr>
      <w:r>
        <w:t xml:space="preserve"/>
      </w:r>
    </w:p>
    <w:tbl>
      <w:tblPr>
        <w:tblW w:type="dxa" w:w="878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87"/>
      </w:tblGrid>
      <w:tr>
        <w:tc>
          <w:tcPr>
            <w:tcW w:type="dxa" w:w="878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0F0" w:val="clear"/>
            <w:tcMar>
              <w:top w:type="dxa" w:w="400"/>
              <w:left w:type="dxa" w:w="200"/>
              <w:bottom w:type="dxa" w:w="4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888888"/>
                <w:sz w:val="20"/>
                <w:szCs w:val="20"/>
              </w:rPr>
              <w:t xml:space="preserve">[ Fotografia 10 — Lista de encomendas a fornecedores com estado de cada uma ]</w:t>
            </w:r>
          </w:p>
        </w:tc>
      </w:tr>
    </w:tbl>
    <w:p>
      <w:pPr>
        <w:spacing w:after="280" w:before="8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Figura 10 — Módulo de encomendas (modules/encomendas.php)</w:t>
      </w:r>
    </w:p>
    <w:p>
      <w:pPr>
        <w:spacing w:after="0" w:before="120"/>
      </w:pPr>
      <w:r>
        <w:t xml:space="preserve"/>
      </w:r>
    </w:p>
    <w:tbl>
      <w:tblPr>
        <w:tblW w:type="dxa" w:w="878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87"/>
      </w:tblGrid>
      <w:tr>
        <w:tc>
          <w:tcPr>
            <w:tcW w:type="dxa" w:w="878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0F0" w:val="clear"/>
            <w:tcMar>
              <w:top w:type="dxa" w:w="400"/>
              <w:left w:type="dxa" w:w="200"/>
              <w:bottom w:type="dxa" w:w="4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888888"/>
                <w:sz w:val="20"/>
                <w:szCs w:val="20"/>
              </w:rPr>
              <w:t xml:space="preserve">[ Fotografia 11 — Ficha de cliente com saldo de pontos e histórico de compras ]</w:t>
            </w:r>
          </w:p>
        </w:tc>
      </w:tr>
    </w:tbl>
    <w:p>
      <w:pPr>
        <w:spacing w:after="280" w:before="8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Figura 11 — Ficha de cliente no programa de fidelidade (modules/customers.php)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a1a1a"/>
          <w:sz w:val="26"/>
          <w:szCs w:val="26"/>
        </w:rPr>
        <w:t xml:space="preserve">4.8 Promoções</w:t>
      </w:r>
    </w:p>
    <w:p>
      <w:pPr>
        <w:spacing w:after="160" w:before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subsistema de promoções usa três tabelas para implementar descontos flexíveis: uma promoção pode incidir sobre categorias inteiras ou produtos específicos, e pode combinar os dois. O PDV consulta estas tabelas em cada venda para aplicar automaticamente os descontos ativos.</w:t>
      </w:r>
    </w:p>
    <w:p>
      <w:pPr>
        <w:spacing w:after="0" w:before="80"/>
      </w:pPr>
      <w:r>
        <w:t xml:space="preserve"/>
      </w:r>
    </w:p>
    <w:tbl>
      <w:tblPr>
        <w:tblW w:type="dxa" w:w="878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187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Campos principais</w:t>
            </w:r>
          </w:p>
        </w:tc>
        <w:tc>
          <w:tcPr>
            <w:tcW w:type="dxa" w:w="3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318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</w:t>
            </w:r>
          </w:p>
        </w:tc>
        <w:tc>
          <w:tcPr>
            <w:tcW w:type="dxa" w:w="318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</w:t>
            </w:r>
          </w:p>
        </w:tc>
        <w:tc>
          <w:tcPr>
            <w:tcW w:type="dxa" w:w="318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60" w:before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Esta estrutura permite cenários como "20% de desconto em toda a secção de bebidas, exceto a água mineral que tem 30%": a regra de categoria cobre a secção e o produto específico substitui o desconto para a água.</w:t>
      </w:r>
    </w:p>
    <w:p>
      <w:pPr>
        <w:spacing w:after="0" w:before="80"/>
      </w:pPr>
      <w:r>
        <w:t xml:space="preserve"/>
      </w:r>
    </w:p>
    <w:tbl>
      <w:tblPr>
        <w:tblW w:type="dxa" w:w="878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87"/>
      </w:tblGrid>
      <w:tr>
        <w:tc>
          <w:tcPr>
            <w:tcW w:type="dxa" w:w="878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0F0" w:val="clear"/>
            <w:tcMar>
              <w:top w:type="dxa" w:w="400"/>
              <w:left w:type="dxa" w:w="200"/>
              <w:bottom w:type="dxa" w:w="4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888888"/>
                <w:sz w:val="20"/>
                <w:szCs w:val="20"/>
              </w:rPr>
              <w:t xml:space="preserve">[ Fotografia 12 — Módulo de promoções: criação de uma promoção com seleção de categoria e datas ]</w:t>
            </w:r>
          </w:p>
        </w:tc>
      </w:tr>
    </w:tbl>
    <w:p>
      <w:pPr>
        <w:spacing w:after="280" w:before="8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Figura 12 — Criação de promoção (modules/promocoes.php)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a1a1a"/>
          <w:sz w:val="26"/>
          <w:szCs w:val="26"/>
        </w:rPr>
        <w:t xml:space="preserve">4.9 Infraestrutura do Sistema</w:t>
      </w:r>
    </w:p>
    <w:p>
      <w:pPr>
        <w:spacing w:after="160" w:before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Quatro tabelas suportam o funcionamento interno da aplicação. Não guardam dados de negócio, mas são indispensáveis para a auditoria, configuração e automação.</w:t>
      </w:r>
    </w:p>
    <w:p>
      <w:pPr>
        <w:spacing w:after="0" w:before="80"/>
      </w:pPr>
      <w:r>
        <w:t xml:space="preserve"/>
      </w:r>
    </w:p>
    <w:tbl>
      <w:tblPr>
        <w:tblW w:type="dxa" w:w="878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787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57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Descrição detalhada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dxa" w:w="578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78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  <w:tc>
          <w:tcPr>
            <w:tcW w:type="dxa" w:w="578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</w:t>
            </w:r>
          </w:p>
        </w:tc>
        <w:tc>
          <w:tcPr>
            <w:tcW w:type="dxa" w:w="578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60" w:before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tabela audit_logs é preenchida automaticamente por triggers MySQL e por código PHP nos pontos críticos da aplicação (login, alteração de preços, edição de stock). Cada linha regista o utilizador, a tabela afetada, o tipo de operação (INSERT, UPDATE, DELETE) e o timestamp preciso.</w:t>
      </w:r>
    </w:p>
    <w:p>
      <w:pPr>
        <w:spacing w:after="0" w:before="80"/>
      </w:pPr>
      <w:r>
        <w:t xml:space="preserve"/>
      </w:r>
    </w:p>
    <w:tbl>
      <w:tblPr>
        <w:tblW w:type="dxa" w:w="878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87"/>
      </w:tblGrid>
      <w:tr>
        <w:tc>
          <w:tcPr>
            <w:tcW w:type="dxa" w:w="878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0F0" w:val="clear"/>
            <w:tcMar>
              <w:top w:type="dxa" w:w="400"/>
              <w:left w:type="dxa" w:w="200"/>
              <w:bottom w:type="dxa" w:w="4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888888"/>
                <w:sz w:val="20"/>
                <w:szCs w:val="20"/>
              </w:rPr>
              <w:t xml:space="preserve">[ Fotografia 13 — Módulo de auditoria: lista de ações recentes com filtro por utilizador e data ]</w:t>
            </w:r>
          </w:p>
        </w:tc>
      </w:tr>
    </w:tbl>
    <w:p>
      <w:pPr>
        <w:spacing w:after="280" w:before="8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Figura 13 — Módulo de auditoria (modules/auditoria.php)</w:t>
      </w:r>
    </w:p>
    <w:p>
      <w:pPr>
        <w:spacing w:after="0" w:before="120"/>
      </w:pPr>
      <w:r>
        <w:t xml:space="preserve"/>
      </w:r>
    </w:p>
    <w:tbl>
      <w:tblPr>
        <w:tblW w:type="dxa" w:w="878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87"/>
      </w:tblGrid>
      <w:tr>
        <w:tc>
          <w:tcPr>
            <w:tcW w:type="dxa" w:w="878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0F0" w:val="clear"/>
            <w:tcMar>
              <w:top w:type="dxa" w:w="400"/>
              <w:left w:type="dxa" w:w="200"/>
              <w:bottom w:type="dxa" w:w="4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888888"/>
                <w:sz w:val="20"/>
                <w:szCs w:val="20"/>
              </w:rPr>
              <w:t xml:space="preserve">[ Fotografia 14 — Módulo de notificações: alertas de stock baixo e validades próximas ]</w:t>
            </w:r>
          </w:p>
        </w:tc>
      </w:tr>
    </w:tbl>
    <w:p>
      <w:pPr>
        <w:spacing w:after="280" w:before="8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Figura 14 — Centro de notificações (modules/notifications.php)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a1a1a"/>
          <w:sz w:val="26"/>
          <w:szCs w:val="26"/>
        </w:rPr>
        <w:t xml:space="preserve">4.10 Síntese do Modelo de Dados</w:t>
      </w:r>
    </w:p>
    <w:p>
      <w:pPr>
        <w:spacing w:after="160" w:before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base de dados supermercado tem ao todo mais de 40 tabelas distribuídas por 9 domínios funcionais. A tabela seguinte resume a contagem por grupo e destaca as tabelas com maior volume de dados em operação normal:</w:t>
      </w:r>
    </w:p>
    <w:p>
      <w:pPr>
        <w:spacing w:after="0" w:before="80"/>
      </w:pPr>
      <w:r>
        <w:t xml:space="preserve"/>
      </w:r>
    </w:p>
    <w:tbl>
      <w:tblPr>
        <w:tblW w:type="dxa" w:w="878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600"/>
        <w:gridCol w:w="2587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Domínio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N.º de tabelas</w:t>
            </w:r>
          </w:p>
        </w:tc>
        <w:tc>
          <w:tcPr>
            <w:tcW w:type="dxa" w:w="25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Tabela com maior volume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58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58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58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58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58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58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58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58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58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60" w:before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separação por domínios facilita a manutenção: alterar a lógica de promoções não implica tocar nas tabelas de RH. As chaves estrangeiras garantem que não existem vendas sem produto, encomendas sem fornecedor ou turnos sem operador. O MySQL trata estas violações ao nível do motor de base de dados, independentemente do código PHP.</w:t>
      </w:r>
    </w:p>
    <w:p>
      <w:pPr>
        <w:spacing w:after="0" w:before="80"/>
      </w:pPr>
      <w:r>
        <w:t xml:space="preserve"/>
      </w:r>
    </w:p>
    <w:tbl>
      <w:tblPr>
        <w:tblW w:type="dxa" w:w="878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87"/>
      </w:tblGrid>
      <w:tr>
        <w:tc>
          <w:tcPr>
            <w:tcW w:type="dxa" w:w="878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0F0" w:val="clear"/>
            <w:tcMar>
              <w:top w:type="dxa" w:w="400"/>
              <w:left w:type="dxa" w:w="200"/>
              <w:bottom w:type="dxa" w:w="4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888888"/>
                <w:sz w:val="20"/>
                <w:szCs w:val="20"/>
              </w:rPr>
              <w:t xml:space="preserve">[ Fotografia 15 — Dashboard com métricas em tempo real: vendas, stock e alertas ativos ]</w:t>
            </w:r>
          </w:p>
        </w:tc>
      </w:tr>
    </w:tbl>
    <w:p>
      <w:pPr>
        <w:spacing w:after="280" w:before="8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Figura 15 — Dashboard do Mercantec com indicadores operacionais</w:t>
      </w:r>
    </w:p>
    <w:p>
      <w:pPr>
        <w:spacing w:after="0" w:before="80"/>
      </w:pPr>
      <w:r>
        <w:t xml:space="preserve"/>
      </w:r>
    </w:p>
    <w:sectPr>
      <w:footerReference w:type="default" r:id="rId7"/>
      <w:pgSz w:w="11906" w:h="16838" w:orient="portrait"/>
      <w:pgMar w:top="1418" w:right="1418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>Mercantec — PAP 2025/2026 — Vasco Ruas      </w:t>
    </w:r>
    <w:r>
      <w:rPr>
        <w:rFonts w:ascii="Times New Roman" w:cs="Times New Roman" w:eastAsia="Times New Roman" w:hAnsi="Times New Roman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line="360" w:lineRule="auto"/>
        <w:ind w:left="720" w:hanging="360"/>
      </w:pPr>
      <w:rPr>
        <w:rFonts w:ascii="Times New Roman" w:cs="Times New Roman" w:eastAsia="Times New Roman" w:hAnsi="Times New Roman"/>
        <w:sz w:val="24"/>
        <w:szCs w:val="24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Times New Roman" w:cs="Times New Roman" w:eastAsia="Times New Roman" w:hAnsi="Times New Roman"/>
      <w:b/>
      <w:bCs/>
      <w:color w:val="111111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Times New Roman" w:cs="Times New Roman" w:eastAsia="Times New Roman" w:hAnsi="Times New Roman"/>
      <w:b/>
      <w:bCs/>
      <w:color w:val="1a1a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2026-06-14T15:13:23.628Z</dcterms:created>
  <dcterms:modified xsi:type="dcterms:W3CDTF">2026-06-14T15:13:23.628Z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