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i w:val="0"/>
          <w:color w:val="1A365D"/>
          <w:sz w:val="48"/>
        </w:rPr>
        <w:t>TimesFM Sentinel: Zero-Shot Time Series Anomaly Detection</w:t>
      </w:r>
    </w:p>
    <w:p>
      <w:pPr>
        <w:spacing w:after="480"/>
        <w:jc w:val="center"/>
      </w:pPr>
      <w:r>
        <w:rPr>
          <w:rFonts w:ascii="Segoe UI" w:hAnsi="Segoe UI"/>
          <w:b w:val="0"/>
          <w:i/>
          <w:color w:val="2B6CB0"/>
          <w:sz w:val="28"/>
        </w:rPr>
        <w:t>Deep Learning Time Series Foundation Model Benchmarking Report</w:t>
      </w:r>
    </w:p>
    <w:p>
      <w:pPr>
        <w:spacing w:after="720"/>
        <w:jc w:val="center"/>
      </w:pPr>
      <w:r>
        <w:rPr>
          <w:rFonts w:ascii="Segoe UI" w:hAnsi="Segoe UI"/>
          <w:b/>
          <w:i w:val="0"/>
          <w:color w:val="334155"/>
          <w:sz w:val="22"/>
        </w:rPr>
        <w:t>Prepared by: Souradeep Chakraborty</w:t>
        <w:br/>
        <w:t>Role: Senior ML Engineer (B.Tech CS Student Portfolio Project)</w:t>
      </w:r>
    </w:p>
    <w:p>
      <w:r>
        <w:rPr>
          <w:color w:val="E2E8F0"/>
        </w:rPr>
        <w:t>————————————————————————————————————————————————————————————</w:t>
      </w:r>
    </w:p>
    <w:p>
      <w:pPr>
        <w:keepNext/>
        <w:spacing w:before="360" w:after="120"/>
        <w:pBdr>
          <w:bottom w:val="single" w:sz="12" w:space="4" w:color="2B6CB0"/>
        </w:pBdr>
      </w:pPr>
      <w:r>
        <w:rPr>
          <w:rFonts w:ascii="Segoe UI" w:hAnsi="Segoe UI"/>
          <w:b/>
          <w:i w:val="0"/>
          <w:color w:val="1A365D"/>
          <w:sz w:val="32"/>
        </w:rPr>
        <w:t>1. Executive Summary</w:t>
      </w:r>
    </w:p>
    <w:p>
      <w:pPr>
        <w:spacing w:after="160" w:line="276" w:lineRule="auto"/>
      </w:pPr>
      <w:r>
        <w:rPr>
          <w:rFonts w:ascii="Calibri" w:hAnsi="Calibri"/>
          <w:b w:val="0"/>
          <w:i w:val="0"/>
          <w:color w:val="334155"/>
          <w:sz w:val="22"/>
        </w:rPr>
        <w:t>This report presents the implementation, validation, and benchmarking of a state-of-the-art anomaly detection system built around Google's TimesFM 2.5 time series foundation model. The system operates on a 'forecast-then-flag-residual' logic, using TimesFM's zero-shot forecasting capabilities to establish dynamic quantile intervals and analyze prediction residuals. Tested against standard benchmarks from the Numenta Anomaly Benchmark (NAB), the foundation model demonstrated superior performance in capturing complex cyclic trends and preventing false alarms, outperforming traditional machine learning (Isolation Forest) and deep learning (LSTM Autoencoders) by an average of 12-15% in F1-Score.</w:t>
      </w:r>
    </w:p>
    <w:p>
      <w:pPr>
        <w:keepNext/>
        <w:spacing w:before="360" w:after="120"/>
        <w:pBdr>
          <w:bottom w:val="single" w:sz="12" w:space="4" w:color="2B6CB0"/>
        </w:pBdr>
      </w:pPr>
      <w:r>
        <w:rPr>
          <w:rFonts w:ascii="Segoe UI" w:hAnsi="Segoe UI"/>
          <w:b/>
          <w:i w:val="0"/>
          <w:color w:val="1A365D"/>
          <w:sz w:val="32"/>
        </w:rPr>
        <w:t>2. Problem Statement</w:t>
      </w:r>
    </w:p>
    <w:p>
      <w:pPr>
        <w:spacing w:after="160" w:line="276" w:lineRule="auto"/>
      </w:pPr>
      <w:r>
        <w:rPr>
          <w:rFonts w:ascii="Calibri" w:hAnsi="Calibri"/>
          <w:b w:val="0"/>
          <w:i w:val="0"/>
          <w:color w:val="334155"/>
          <w:sz w:val="22"/>
        </w:rPr>
        <w:t>Time-series anomaly detection in industrial sensor streams (e.g., temperatures, CPU logs, device metrics) is historically challenging. Anomalies are frequently masked by seasonal variance, diurnal patterns, and sudden structural shifts (such as autoscale steps). Standard statistical approaches lack representation capacity, while traditional deep learning architectures (like LSTMs or Autoencoders) require custom training, making them prohibitively expensive to deploy across thousands of separate sensor streams. This project establishes a unified zero-shot forecasting-based sentinel system that generalizes to unseen domains without fine-tuning.</w:t>
      </w:r>
    </w:p>
    <w:p>
      <w:pPr>
        <w:keepNext/>
        <w:spacing w:before="360" w:after="120"/>
        <w:pBdr>
          <w:bottom w:val="single" w:sz="12" w:space="4" w:color="2B6CB0"/>
        </w:pBdr>
      </w:pPr>
      <w:r>
        <w:rPr>
          <w:rFonts w:ascii="Segoe UI" w:hAnsi="Segoe UI"/>
          <w:b/>
          <w:i w:val="0"/>
          <w:color w:val="1A365D"/>
          <w:sz w:val="32"/>
        </w:rPr>
        <w:t>3. Why TimesFM 2.5? (In Contrast to Other Models)</w:t>
      </w:r>
    </w:p>
    <w:p>
      <w:pPr>
        <w:spacing w:after="160" w:line="276" w:lineRule="auto"/>
      </w:pPr>
      <w:r>
        <w:rPr>
          <w:rFonts w:ascii="Calibri" w:hAnsi="Calibri"/>
          <w:b w:val="0"/>
          <w:i w:val="0"/>
          <w:color w:val="334155"/>
          <w:sz w:val="22"/>
        </w:rPr>
        <w:t>The project highlights a core shift in ML engineering: moving from task-specific trained models to foundation models. We chose Google's TimesFM 2.5 (200 million parameter PyTorch transformer) for the following critical technical reasons:</w:t>
      </w:r>
    </w:p>
    <w:p>
      <w:pPr>
        <w:pStyle w:val="ListBullet"/>
        <w:spacing w:after="80"/>
      </w:pPr>
      <w:r>
        <w:rPr>
          <w:rFonts w:ascii="Calibri" w:hAnsi="Calibri"/>
          <w:b/>
          <w:i w:val="0"/>
          <w:color w:val="334155"/>
          <w:sz w:val="22"/>
        </w:rPr>
        <w:t xml:space="preserve">Zero-Shot Generalization: </w:t>
      </w:r>
      <w:r>
        <w:rPr>
          <w:rFonts w:ascii="Calibri" w:hAnsi="Calibri"/>
          <w:b w:val="0"/>
          <w:i w:val="0"/>
          <w:color w:val="334155"/>
          <w:sz w:val="22"/>
        </w:rPr>
        <w:t>Unlike ARIMA, LSTMs, or Isolation Forest, TimesFM does not require training on the target time series. It has been pre-trained on billions of real-world time points, allowing it to predict future steps out-of-the-box.</w:t>
      </w:r>
    </w:p>
    <w:p>
      <w:pPr>
        <w:pStyle w:val="ListBullet"/>
        <w:spacing w:after="80"/>
      </w:pPr>
      <w:r>
        <w:rPr>
          <w:rFonts w:ascii="Calibri" w:hAnsi="Calibri"/>
          <w:b/>
          <w:i w:val="0"/>
          <w:color w:val="334155"/>
          <w:sz w:val="22"/>
        </w:rPr>
        <w:t xml:space="preserve">Adaptive Probabilistic Quantiles: </w:t>
      </w:r>
      <w:r>
        <w:rPr>
          <w:rFonts w:ascii="Calibri" w:hAnsi="Calibri"/>
          <w:b w:val="0"/>
          <w:i w:val="0"/>
          <w:color w:val="334155"/>
          <w:sz w:val="22"/>
        </w:rPr>
        <w:t>Rather than predicting only the mean (point forecast), TimesFM's continuous quantile head outputs the 10th and 90th percentiles. This creates an adaptive, dynamic confidence band. Traditional regression models like LSTMs require complex wrapper heads or quantile loss functions to do this.</w:t>
      </w:r>
    </w:p>
    <w:p>
      <w:pPr>
        <w:pStyle w:val="ListBullet"/>
        <w:spacing w:after="80"/>
      </w:pPr>
      <w:r>
        <w:rPr>
          <w:rFonts w:ascii="Calibri" w:hAnsi="Calibri"/>
          <w:b/>
          <w:i w:val="0"/>
          <w:color w:val="334155"/>
          <w:sz w:val="22"/>
        </w:rPr>
        <w:t xml:space="preserve">Robustness to Concept Drift: </w:t>
      </w:r>
      <w:r>
        <w:rPr>
          <w:rFonts w:ascii="Calibri" w:hAnsi="Calibri"/>
          <w:b w:val="0"/>
          <w:i w:val="0"/>
          <w:color w:val="334155"/>
          <w:sz w:val="22"/>
        </w:rPr>
        <w:t>LSTM Autoencoders are reconstruction-based. If a server experiences a normal, positive structural shift (e.g., CPU utilization increases permanently due to a scheduled autoscale), the autoencoder will fail to reconstruct it and trigger false alarms. TimesFM adapts instantly because its rolling context window only looks at the recent history to forecast the immediate future.</w:t>
      </w:r>
    </w:p>
    <w:p>
      <w:pPr>
        <w:pStyle w:val="ListBullet"/>
        <w:spacing w:after="80"/>
      </w:pPr>
      <w:r>
        <w:rPr>
          <w:rFonts w:ascii="Calibri" w:hAnsi="Calibri"/>
          <w:b/>
          <w:i w:val="0"/>
          <w:color w:val="334155"/>
          <w:sz w:val="22"/>
        </w:rPr>
        <w:t xml:space="preserve">Multi-Seasonal Attention: </w:t>
      </w:r>
      <w:r>
        <w:rPr>
          <w:rFonts w:ascii="Calibri" w:hAnsi="Calibri"/>
          <w:b w:val="0"/>
          <w:i w:val="0"/>
          <w:color w:val="334155"/>
          <w:sz w:val="22"/>
        </w:rPr>
        <w:t>ARIMA and classical models struggle with multiple overlapping seasonal frequencies (e.g. daily + weekly cycles). TimesFM's transformer attention mechanism naturally maps long-range dependencies.</w:t>
      </w:r>
    </w:p>
    <w:p>
      <w:pPr>
        <w:keepNext/>
        <w:spacing w:before="360" w:after="120"/>
        <w:pBdr>
          <w:bottom w:val="single" w:sz="12" w:space="4" w:color="2B6CB0"/>
        </w:pBdr>
      </w:pPr>
      <w:r>
        <w:rPr>
          <w:rFonts w:ascii="Segoe UI" w:hAnsi="Segoe UI"/>
          <w:b/>
          <w:i w:val="0"/>
          <w:color w:val="1A365D"/>
          <w:sz w:val="32"/>
        </w:rPr>
        <w:t>4. Core Pipeline &amp; System Architecture</w:t>
      </w:r>
    </w:p>
    <w:p>
      <w:pPr>
        <w:spacing w:after="160" w:line="276" w:lineRule="auto"/>
      </w:pPr>
      <w:r>
        <w:rPr>
          <w:rFonts w:ascii="Calibri" w:hAnsi="Calibri"/>
          <w:b w:val="0"/>
          <w:i w:val="0"/>
          <w:color w:val="334155"/>
          <w:sz w:val="22"/>
        </w:rPr>
        <w:t>The modular system is broken into separate, production-ready components to follow engineering best practices:</w:t>
      </w:r>
    </w:p>
    <w:p>
      <w:pPr>
        <w:pStyle w:val="ListBullet"/>
        <w:spacing w:after="80"/>
      </w:pPr>
      <w:r>
        <w:rPr>
          <w:rFonts w:ascii="Calibri" w:hAnsi="Calibri"/>
          <w:b/>
          <w:i w:val="0"/>
          <w:color w:val="334155"/>
          <w:sz w:val="22"/>
        </w:rPr>
        <w:t xml:space="preserve">Data Loader (src/data_loader.py): </w:t>
      </w:r>
      <w:r>
        <w:rPr>
          <w:rFonts w:ascii="Calibri" w:hAnsi="Calibri"/>
          <w:b w:val="0"/>
          <w:i w:val="0"/>
          <w:color w:val="334155"/>
          <w:sz w:val="22"/>
        </w:rPr>
        <w:t>Downloads NAB streams and labels. Parses anomaly windows to assign ground-truth labels. Resamples and interpolates to handle missing values.</w:t>
      </w:r>
    </w:p>
    <w:p>
      <w:pPr>
        <w:pStyle w:val="ListBullet"/>
        <w:spacing w:after="80"/>
      </w:pPr>
      <w:r>
        <w:rPr>
          <w:rFonts w:ascii="Calibri" w:hAnsi="Calibri"/>
          <w:b/>
          <w:i w:val="0"/>
          <w:color w:val="334155"/>
          <w:sz w:val="22"/>
        </w:rPr>
        <w:t xml:space="preserve">Inference Engine (src/timesfm_infer.py): </w:t>
      </w:r>
      <w:r>
        <w:rPr>
          <w:rFonts w:ascii="Calibri" w:hAnsi="Calibri"/>
          <w:b w:val="0"/>
          <w:i w:val="0"/>
          <w:color w:val="334155"/>
          <w:sz w:val="22"/>
        </w:rPr>
        <w:t>Loads google/timesfm-2.5-200m-pytorch and executes block-rolling forecasts. A context length of 512 and a block horizon of 32 are used, reducing model forward passes by 32x for computational efficiency.</w:t>
      </w:r>
    </w:p>
    <w:p>
      <w:pPr>
        <w:pStyle w:val="ListBullet"/>
        <w:spacing w:after="80"/>
      </w:pPr>
      <w:r>
        <w:rPr>
          <w:rFonts w:ascii="Calibri" w:hAnsi="Calibri"/>
          <w:b/>
          <w:i w:val="0"/>
          <w:color w:val="334155"/>
          <w:sz w:val="22"/>
        </w:rPr>
        <w:t xml:space="preserve">Scoring Sentinel (src/scoring.py): </w:t>
      </w:r>
      <w:r>
        <w:rPr>
          <w:rFonts w:ascii="Calibri" w:hAnsi="Calibri"/>
          <w:b w:val="0"/>
          <w:i w:val="0"/>
          <w:color w:val="334155"/>
          <w:sz w:val="22"/>
        </w:rPr>
        <w:t>Computes residuals (actual - predicted). Flags anomalies when the actual value falls outside the quantile band OR if the running residual Z-score exceeds a configurable threshold (e.g., 3.0).</w:t>
      </w:r>
    </w:p>
    <w:p>
      <w:pPr>
        <w:pStyle w:val="ListBullet"/>
        <w:spacing w:after="80"/>
      </w:pPr>
      <w:r>
        <w:rPr>
          <w:rFonts w:ascii="Calibri" w:hAnsi="Calibri"/>
          <w:b/>
          <w:i w:val="0"/>
          <w:color w:val="334155"/>
          <w:sz w:val="22"/>
        </w:rPr>
        <w:t xml:space="preserve">Baselines (src/baselines.py): </w:t>
      </w:r>
      <w:r>
        <w:rPr>
          <w:rFonts w:ascii="Calibri" w:hAnsi="Calibri"/>
          <w:b w:val="0"/>
          <w:i w:val="0"/>
          <w:color w:val="334155"/>
          <w:sz w:val="22"/>
        </w:rPr>
        <w:t>Implements Isolation Forest (with lag/rolling features) and a PyTorch sequence-to-sequence LSTM Autoencoder.</w:t>
      </w:r>
    </w:p>
    <w:p>
      <w:pPr>
        <w:pStyle w:val="ListBullet"/>
        <w:spacing w:after="80"/>
      </w:pPr>
      <w:r>
        <w:rPr>
          <w:rFonts w:ascii="Calibri" w:hAnsi="Calibri"/>
          <w:b/>
          <w:i w:val="0"/>
          <w:color w:val="334155"/>
          <w:sz w:val="22"/>
        </w:rPr>
        <w:t xml:space="preserve">Evaluator (src/eval.py): </w:t>
      </w:r>
      <w:r>
        <w:rPr>
          <w:rFonts w:ascii="Calibri" w:hAnsi="Calibri"/>
          <w:b w:val="0"/>
          <w:i w:val="0"/>
          <w:color w:val="334155"/>
          <w:sz w:val="22"/>
        </w:rPr>
        <w:t>Calculates point-wise Precision, Recall, F1, and AUC-ROC.</w:t>
      </w:r>
    </w:p>
    <w:p>
      <w:r>
        <w:br w:type="page"/>
      </w:r>
    </w:p>
    <w:p>
      <w:pPr>
        <w:keepNext/>
        <w:spacing w:before="360" w:after="120"/>
        <w:pBdr>
          <w:bottom w:val="single" w:sz="12" w:space="4" w:color="2B6CB0"/>
        </w:pBdr>
      </w:pPr>
      <w:r>
        <w:rPr>
          <w:rFonts w:ascii="Segoe UI" w:hAnsi="Segoe UI"/>
          <w:b/>
          <w:i w:val="0"/>
          <w:color w:val="1A365D"/>
          <w:sz w:val="32"/>
        </w:rPr>
        <w:t>5. Performance Benchmarks</w:t>
      </w:r>
    </w:p>
    <w:p>
      <w:pPr>
        <w:spacing w:after="160" w:line="276" w:lineRule="auto"/>
      </w:pPr>
      <w:r>
        <w:rPr>
          <w:rFonts w:ascii="Calibri" w:hAnsi="Calibri"/>
          <w:b w:val="0"/>
          <w:i w:val="0"/>
          <w:color w:val="334155"/>
          <w:sz w:val="22"/>
        </w:rPr>
        <w:t>We evaluated all models on the evaluation split of two real-world sensor streams from the NAB dataset:</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Pr>
          <w:p>
            <w:r>
              <w:rPr>
                <w:rFonts w:ascii="Segoe UI" w:hAnsi="Segoe UI"/>
                <w:b/>
                <w:i w:val="0"/>
                <w:color w:val="FFFFFF"/>
                <w:sz w:val="20"/>
              </w:rPr>
              <w:t>Dataset / Series</w:t>
            </w:r>
          </w:p>
        </w:tc>
        <w:tc>
          <w:tcPr>
            <w:tcW w:type="dxa" w:w="1560"/>
            <w:shd w:fill="1A365D"/>
          </w:tcPr>
          <w:p>
            <w:r>
              <w:rPr>
                <w:rFonts w:ascii="Segoe UI" w:hAnsi="Segoe UI"/>
                <w:b/>
                <w:i w:val="0"/>
                <w:color w:val="FFFFFF"/>
                <w:sz w:val="20"/>
              </w:rPr>
              <w:t>Method</w:t>
            </w:r>
          </w:p>
        </w:tc>
        <w:tc>
          <w:tcPr>
            <w:tcW w:type="dxa" w:w="1560"/>
            <w:shd w:fill="1A365D"/>
          </w:tcPr>
          <w:p>
            <w:r>
              <w:rPr>
                <w:rFonts w:ascii="Segoe UI" w:hAnsi="Segoe UI"/>
                <w:b/>
                <w:i w:val="0"/>
                <w:color w:val="FFFFFF"/>
                <w:sz w:val="20"/>
              </w:rPr>
              <w:t>Precision</w:t>
            </w:r>
          </w:p>
        </w:tc>
        <w:tc>
          <w:tcPr>
            <w:tcW w:type="dxa" w:w="1560"/>
            <w:shd w:fill="1A365D"/>
          </w:tcPr>
          <w:p>
            <w:r>
              <w:rPr>
                <w:rFonts w:ascii="Segoe UI" w:hAnsi="Segoe UI"/>
                <w:b/>
                <w:i w:val="0"/>
                <w:color w:val="FFFFFF"/>
                <w:sz w:val="20"/>
              </w:rPr>
              <w:t>Recall</w:t>
            </w:r>
          </w:p>
        </w:tc>
        <w:tc>
          <w:tcPr>
            <w:tcW w:type="dxa" w:w="1560"/>
            <w:shd w:fill="1A365D"/>
          </w:tcPr>
          <w:p>
            <w:r>
              <w:rPr>
                <w:rFonts w:ascii="Segoe UI" w:hAnsi="Segoe UI"/>
                <w:b/>
                <w:i w:val="0"/>
                <w:color w:val="FFFFFF"/>
                <w:sz w:val="20"/>
              </w:rPr>
              <w:t>F1-Score</w:t>
            </w:r>
          </w:p>
        </w:tc>
        <w:tc>
          <w:tcPr>
            <w:tcW w:type="dxa" w:w="1560"/>
            <w:shd w:fill="1A365D"/>
          </w:tcPr>
          <w:p>
            <w:r>
              <w:rPr>
                <w:rFonts w:ascii="Segoe UI" w:hAnsi="Segoe UI"/>
                <w:b/>
                <w:i w:val="0"/>
                <w:color w:val="FFFFFF"/>
                <w:sz w:val="20"/>
              </w:rPr>
              <w:t>AUC-ROC</w:t>
            </w:r>
          </w:p>
        </w:tc>
      </w:tr>
      <w:tr>
        <w:tc>
          <w:tcPr>
            <w:tcW w:type="dxa" w:w="1560"/>
          </w:tcPr>
          <w:p>
            <w:r>
              <w:rPr>
                <w:rFonts w:ascii="Calibri" w:hAnsi="Calibri"/>
                <w:b/>
                <w:i w:val="0"/>
                <w:color w:val="1A365D"/>
                <w:sz w:val="19"/>
              </w:rPr>
              <w:t>Ambient Temp</w:t>
            </w:r>
          </w:p>
        </w:tc>
        <w:tc>
          <w:tcPr>
            <w:tcW w:type="dxa" w:w="1560"/>
          </w:tcPr>
          <w:p>
            <w:r>
              <w:rPr>
                <w:rFonts w:ascii="Calibri" w:hAnsi="Calibri"/>
                <w:b/>
                <w:i w:val="0"/>
                <w:color w:val="1A365D"/>
                <w:sz w:val="19"/>
              </w:rPr>
              <w:t>TimesFM (Combined)</w:t>
            </w:r>
          </w:p>
        </w:tc>
        <w:tc>
          <w:tcPr>
            <w:tcW w:type="dxa" w:w="1560"/>
          </w:tcPr>
          <w:p>
            <w:r>
              <w:rPr>
                <w:rFonts w:ascii="Calibri" w:hAnsi="Calibri"/>
                <w:b/>
                <w:i w:val="0"/>
                <w:color w:val="1A365D"/>
                <w:sz w:val="19"/>
              </w:rPr>
              <w:t>0.7245</w:t>
            </w:r>
          </w:p>
        </w:tc>
        <w:tc>
          <w:tcPr>
            <w:tcW w:type="dxa" w:w="1560"/>
          </w:tcPr>
          <w:p>
            <w:r>
              <w:rPr>
                <w:rFonts w:ascii="Calibri" w:hAnsi="Calibri"/>
                <w:b/>
                <w:i w:val="0"/>
                <w:color w:val="1A365D"/>
                <w:sz w:val="19"/>
              </w:rPr>
              <w:t>0.8125</w:t>
            </w:r>
          </w:p>
        </w:tc>
        <w:tc>
          <w:tcPr>
            <w:tcW w:type="dxa" w:w="1560"/>
          </w:tcPr>
          <w:p>
            <w:r>
              <w:rPr>
                <w:rFonts w:ascii="Calibri" w:hAnsi="Calibri"/>
                <w:b/>
                <w:i w:val="0"/>
                <w:color w:val="1A365D"/>
                <w:sz w:val="19"/>
              </w:rPr>
              <w:t>0.7659</w:t>
            </w:r>
          </w:p>
        </w:tc>
        <w:tc>
          <w:tcPr>
            <w:tcW w:type="dxa" w:w="1560"/>
          </w:tcPr>
          <w:p>
            <w:r>
              <w:rPr>
                <w:rFonts w:ascii="Calibri" w:hAnsi="Calibri"/>
                <w:b/>
                <w:i w:val="0"/>
                <w:color w:val="1A365D"/>
                <w:sz w:val="19"/>
              </w:rPr>
              <w:t>0.8621</w:t>
            </w:r>
          </w:p>
        </w:tc>
      </w:tr>
      <w:tr>
        <w:tc>
          <w:tcPr>
            <w:tcW w:type="dxa" w:w="1560"/>
          </w:tcPr>
          <w:p>
            <w:r>
              <w:rPr>
                <w:rFonts w:ascii="Calibri" w:hAnsi="Calibri"/>
                <w:b w:val="0"/>
                <w:i w:val="0"/>
                <w:color w:val="000000"/>
                <w:sz w:val="19"/>
              </w:rPr>
              <w:t>Ambient Temp</w:t>
            </w:r>
          </w:p>
        </w:tc>
        <w:tc>
          <w:tcPr>
            <w:tcW w:type="dxa" w:w="1560"/>
          </w:tcPr>
          <w:p>
            <w:r>
              <w:rPr>
                <w:rFonts w:ascii="Calibri" w:hAnsi="Calibri"/>
                <w:b w:val="0"/>
                <w:i w:val="0"/>
                <w:color w:val="000000"/>
                <w:sz w:val="19"/>
              </w:rPr>
              <w:t>TimesFM (Quantile)</w:t>
            </w:r>
          </w:p>
        </w:tc>
        <w:tc>
          <w:tcPr>
            <w:tcW w:type="dxa" w:w="1560"/>
          </w:tcPr>
          <w:p>
            <w:r>
              <w:rPr>
                <w:rFonts w:ascii="Calibri" w:hAnsi="Calibri"/>
                <w:b w:val="0"/>
                <w:i w:val="0"/>
                <w:color w:val="000000"/>
                <w:sz w:val="19"/>
              </w:rPr>
              <w:t>0.6521</w:t>
            </w:r>
          </w:p>
        </w:tc>
        <w:tc>
          <w:tcPr>
            <w:tcW w:type="dxa" w:w="1560"/>
          </w:tcPr>
          <w:p>
            <w:r>
              <w:rPr>
                <w:rFonts w:ascii="Calibri" w:hAnsi="Calibri"/>
                <w:b w:val="0"/>
                <w:i w:val="0"/>
                <w:color w:val="000000"/>
                <w:sz w:val="19"/>
              </w:rPr>
              <w:t>0.7812</w:t>
            </w:r>
          </w:p>
        </w:tc>
        <w:tc>
          <w:tcPr>
            <w:tcW w:type="dxa" w:w="1560"/>
          </w:tcPr>
          <w:p>
            <w:r>
              <w:rPr>
                <w:rFonts w:ascii="Calibri" w:hAnsi="Calibri"/>
                <w:b w:val="0"/>
                <w:i w:val="0"/>
                <w:color w:val="000000"/>
                <w:sz w:val="19"/>
              </w:rPr>
              <w:t>0.7107</w:t>
            </w:r>
          </w:p>
        </w:tc>
        <w:tc>
          <w:tcPr>
            <w:tcW w:type="dxa" w:w="1560"/>
          </w:tcPr>
          <w:p>
            <w:r>
              <w:rPr>
                <w:rFonts w:ascii="Calibri" w:hAnsi="Calibri"/>
                <w:b w:val="0"/>
                <w:i w:val="0"/>
                <w:color w:val="000000"/>
                <w:sz w:val="19"/>
              </w:rPr>
              <w:t>0.8142</w:t>
            </w:r>
          </w:p>
        </w:tc>
      </w:tr>
      <w:tr>
        <w:tc>
          <w:tcPr>
            <w:tcW w:type="dxa" w:w="1560"/>
          </w:tcPr>
          <w:p>
            <w:r>
              <w:rPr>
                <w:rFonts w:ascii="Calibri" w:hAnsi="Calibri"/>
                <w:b w:val="0"/>
                <w:i w:val="0"/>
                <w:color w:val="000000"/>
                <w:sz w:val="19"/>
              </w:rPr>
              <w:t>Ambient Temp</w:t>
            </w:r>
          </w:p>
        </w:tc>
        <w:tc>
          <w:tcPr>
            <w:tcW w:type="dxa" w:w="1560"/>
          </w:tcPr>
          <w:p>
            <w:r>
              <w:rPr>
                <w:rFonts w:ascii="Calibri" w:hAnsi="Calibri"/>
                <w:b w:val="0"/>
                <w:i w:val="0"/>
                <w:color w:val="000000"/>
                <w:sz w:val="19"/>
              </w:rPr>
              <w:t>TimesFM (Z-Score)</w:t>
            </w:r>
          </w:p>
        </w:tc>
        <w:tc>
          <w:tcPr>
            <w:tcW w:type="dxa" w:w="1560"/>
          </w:tcPr>
          <w:p>
            <w:r>
              <w:rPr>
                <w:rFonts w:ascii="Calibri" w:hAnsi="Calibri"/>
                <w:b w:val="0"/>
                <w:i w:val="0"/>
                <w:color w:val="000000"/>
                <w:sz w:val="19"/>
              </w:rPr>
              <w:t>0.7102</w:t>
            </w:r>
          </w:p>
        </w:tc>
        <w:tc>
          <w:tcPr>
            <w:tcW w:type="dxa" w:w="1560"/>
          </w:tcPr>
          <w:p>
            <w:r>
              <w:rPr>
                <w:rFonts w:ascii="Calibri" w:hAnsi="Calibri"/>
                <w:b w:val="0"/>
                <w:i w:val="0"/>
                <w:color w:val="000000"/>
                <w:sz w:val="19"/>
              </w:rPr>
              <w:t>0.6951</w:t>
            </w:r>
          </w:p>
        </w:tc>
        <w:tc>
          <w:tcPr>
            <w:tcW w:type="dxa" w:w="1560"/>
          </w:tcPr>
          <w:p>
            <w:r>
              <w:rPr>
                <w:rFonts w:ascii="Calibri" w:hAnsi="Calibri"/>
                <w:b w:val="0"/>
                <w:i w:val="0"/>
                <w:color w:val="000000"/>
                <w:sz w:val="19"/>
              </w:rPr>
              <w:t>0.7025</w:t>
            </w:r>
          </w:p>
        </w:tc>
        <w:tc>
          <w:tcPr>
            <w:tcW w:type="dxa" w:w="1560"/>
          </w:tcPr>
          <w:p>
            <w:r>
              <w:rPr>
                <w:rFonts w:ascii="Calibri" w:hAnsi="Calibri"/>
                <w:b w:val="0"/>
                <w:i w:val="0"/>
                <w:color w:val="000000"/>
                <w:sz w:val="19"/>
              </w:rPr>
              <w:t>0.8354</w:t>
            </w:r>
          </w:p>
        </w:tc>
      </w:tr>
      <w:tr>
        <w:tc>
          <w:tcPr>
            <w:tcW w:type="dxa" w:w="1560"/>
          </w:tcPr>
          <w:p>
            <w:r>
              <w:rPr>
                <w:rFonts w:ascii="Calibri" w:hAnsi="Calibri"/>
                <w:b w:val="0"/>
                <w:i w:val="0"/>
                <w:color w:val="000000"/>
                <w:sz w:val="19"/>
              </w:rPr>
              <w:t>Ambient Temp</w:t>
            </w:r>
          </w:p>
        </w:tc>
        <w:tc>
          <w:tcPr>
            <w:tcW w:type="dxa" w:w="1560"/>
          </w:tcPr>
          <w:p>
            <w:r>
              <w:rPr>
                <w:rFonts w:ascii="Calibri" w:hAnsi="Calibri"/>
                <w:b w:val="0"/>
                <w:i w:val="0"/>
                <w:color w:val="000000"/>
                <w:sz w:val="19"/>
              </w:rPr>
              <w:t>Isolation Forest (Baseline)</w:t>
            </w:r>
          </w:p>
        </w:tc>
        <w:tc>
          <w:tcPr>
            <w:tcW w:type="dxa" w:w="1560"/>
          </w:tcPr>
          <w:p>
            <w:r>
              <w:rPr>
                <w:rFonts w:ascii="Calibri" w:hAnsi="Calibri"/>
                <w:b w:val="0"/>
                <w:i w:val="0"/>
                <w:color w:val="000000"/>
                <w:sz w:val="19"/>
              </w:rPr>
              <w:t>0.5812</w:t>
            </w:r>
          </w:p>
        </w:tc>
        <w:tc>
          <w:tcPr>
            <w:tcW w:type="dxa" w:w="1560"/>
          </w:tcPr>
          <w:p>
            <w:r>
              <w:rPr>
                <w:rFonts w:ascii="Calibri" w:hAnsi="Calibri"/>
                <w:b w:val="0"/>
                <w:i w:val="0"/>
                <w:color w:val="000000"/>
                <w:sz w:val="19"/>
              </w:rPr>
              <w:t>0.6514</w:t>
            </w:r>
          </w:p>
        </w:tc>
        <w:tc>
          <w:tcPr>
            <w:tcW w:type="dxa" w:w="1560"/>
          </w:tcPr>
          <w:p>
            <w:r>
              <w:rPr>
                <w:rFonts w:ascii="Calibri" w:hAnsi="Calibri"/>
                <w:b w:val="0"/>
                <w:i w:val="0"/>
                <w:color w:val="000000"/>
                <w:sz w:val="19"/>
              </w:rPr>
              <w:t>0.6143</w:t>
            </w:r>
          </w:p>
        </w:tc>
        <w:tc>
          <w:tcPr>
            <w:tcW w:type="dxa" w:w="1560"/>
          </w:tcPr>
          <w:p>
            <w:r>
              <w:rPr>
                <w:rFonts w:ascii="Calibri" w:hAnsi="Calibri"/>
                <w:b w:val="0"/>
                <w:i w:val="0"/>
                <w:color w:val="000000"/>
                <w:sz w:val="19"/>
              </w:rPr>
              <w:t>0.7214</w:t>
            </w:r>
          </w:p>
        </w:tc>
      </w:tr>
      <w:tr>
        <w:tc>
          <w:tcPr>
            <w:tcW w:type="dxa" w:w="1560"/>
          </w:tcPr>
          <w:p>
            <w:r>
              <w:rPr>
                <w:rFonts w:ascii="Calibri" w:hAnsi="Calibri"/>
                <w:b w:val="0"/>
                <w:i w:val="0"/>
                <w:color w:val="000000"/>
                <w:sz w:val="19"/>
              </w:rPr>
              <w:t>Ambient Temp</w:t>
            </w:r>
          </w:p>
        </w:tc>
        <w:tc>
          <w:tcPr>
            <w:tcW w:type="dxa" w:w="1560"/>
          </w:tcPr>
          <w:p>
            <w:r>
              <w:rPr>
                <w:rFonts w:ascii="Calibri" w:hAnsi="Calibri"/>
                <w:b w:val="0"/>
                <w:i w:val="0"/>
                <w:color w:val="000000"/>
                <w:sz w:val="19"/>
              </w:rPr>
              <w:t>LSTM Autoencoder (Baseline)</w:t>
            </w:r>
          </w:p>
        </w:tc>
        <w:tc>
          <w:tcPr>
            <w:tcW w:type="dxa" w:w="1560"/>
          </w:tcPr>
          <w:p>
            <w:r>
              <w:rPr>
                <w:rFonts w:ascii="Calibri" w:hAnsi="Calibri"/>
                <w:b w:val="0"/>
                <w:i w:val="0"/>
                <w:color w:val="000000"/>
                <w:sz w:val="19"/>
              </w:rPr>
              <w:t>0.6124</w:t>
            </w:r>
          </w:p>
        </w:tc>
        <w:tc>
          <w:tcPr>
            <w:tcW w:type="dxa" w:w="1560"/>
          </w:tcPr>
          <w:p>
            <w:r>
              <w:rPr>
                <w:rFonts w:ascii="Calibri" w:hAnsi="Calibri"/>
                <w:b w:val="0"/>
                <w:i w:val="0"/>
                <w:color w:val="000000"/>
                <w:sz w:val="19"/>
              </w:rPr>
              <w:t>0.7011</w:t>
            </w:r>
          </w:p>
        </w:tc>
        <w:tc>
          <w:tcPr>
            <w:tcW w:type="dxa" w:w="1560"/>
          </w:tcPr>
          <w:p>
            <w:r>
              <w:rPr>
                <w:rFonts w:ascii="Calibri" w:hAnsi="Calibri"/>
                <w:b w:val="0"/>
                <w:i w:val="0"/>
                <w:color w:val="000000"/>
                <w:sz w:val="19"/>
              </w:rPr>
              <w:t>0.6537</w:t>
            </w:r>
          </w:p>
        </w:tc>
        <w:tc>
          <w:tcPr>
            <w:tcW w:type="dxa" w:w="1560"/>
          </w:tcPr>
          <w:p>
            <w:r>
              <w:rPr>
                <w:rFonts w:ascii="Calibri" w:hAnsi="Calibri"/>
                <w:b w:val="0"/>
                <w:i w:val="0"/>
                <w:color w:val="000000"/>
                <w:sz w:val="19"/>
              </w:rPr>
              <w:t>0.7842</w:t>
            </w:r>
          </w:p>
        </w:tc>
      </w:tr>
      <w:tr>
        <w:tc>
          <w:tcPr>
            <w:tcW w:type="dxa" w:w="1560"/>
          </w:tcPr>
          <w:p>
            <w:r>
              <w:rPr>
                <w:rFonts w:ascii="Calibri" w:hAnsi="Calibri"/>
                <w:b/>
                <w:i w:val="0"/>
                <w:color w:val="1A365D"/>
                <w:sz w:val="19"/>
              </w:rPr>
              <w:t>CPU Utilization</w:t>
            </w:r>
          </w:p>
        </w:tc>
        <w:tc>
          <w:tcPr>
            <w:tcW w:type="dxa" w:w="1560"/>
          </w:tcPr>
          <w:p>
            <w:r>
              <w:rPr>
                <w:rFonts w:ascii="Calibri" w:hAnsi="Calibri"/>
                <w:b/>
                <w:i w:val="0"/>
                <w:color w:val="1A365D"/>
                <w:sz w:val="19"/>
              </w:rPr>
              <w:t>TimesFM (Combined)</w:t>
            </w:r>
          </w:p>
        </w:tc>
        <w:tc>
          <w:tcPr>
            <w:tcW w:type="dxa" w:w="1560"/>
          </w:tcPr>
          <w:p>
            <w:r>
              <w:rPr>
                <w:rFonts w:ascii="Calibri" w:hAnsi="Calibri"/>
                <w:b/>
                <w:i w:val="0"/>
                <w:color w:val="1A365D"/>
                <w:sz w:val="19"/>
              </w:rPr>
              <w:t>0.6892</w:t>
            </w:r>
          </w:p>
        </w:tc>
        <w:tc>
          <w:tcPr>
            <w:tcW w:type="dxa" w:w="1560"/>
          </w:tcPr>
          <w:p>
            <w:r>
              <w:rPr>
                <w:rFonts w:ascii="Calibri" w:hAnsi="Calibri"/>
                <w:b/>
                <w:i w:val="0"/>
                <w:color w:val="1A365D"/>
                <w:sz w:val="19"/>
              </w:rPr>
              <w:t>0.8412</w:t>
            </w:r>
          </w:p>
        </w:tc>
        <w:tc>
          <w:tcPr>
            <w:tcW w:type="dxa" w:w="1560"/>
          </w:tcPr>
          <w:p>
            <w:r>
              <w:rPr>
                <w:rFonts w:ascii="Calibri" w:hAnsi="Calibri"/>
                <w:b/>
                <w:i w:val="0"/>
                <w:color w:val="1A365D"/>
                <w:sz w:val="19"/>
              </w:rPr>
              <w:t>0.7576</w:t>
            </w:r>
          </w:p>
        </w:tc>
        <w:tc>
          <w:tcPr>
            <w:tcW w:type="dxa" w:w="1560"/>
          </w:tcPr>
          <w:p>
            <w:r>
              <w:rPr>
                <w:rFonts w:ascii="Calibri" w:hAnsi="Calibri"/>
                <w:b/>
                <w:i w:val="0"/>
                <w:color w:val="1A365D"/>
                <w:sz w:val="19"/>
              </w:rPr>
              <w:t>0.8415</w:t>
            </w:r>
          </w:p>
        </w:tc>
      </w:tr>
      <w:tr>
        <w:tc>
          <w:tcPr>
            <w:tcW w:type="dxa" w:w="1560"/>
          </w:tcPr>
          <w:p>
            <w:r>
              <w:rPr>
                <w:rFonts w:ascii="Calibri" w:hAnsi="Calibri"/>
                <w:b w:val="0"/>
                <w:i w:val="0"/>
                <w:color w:val="000000"/>
                <w:sz w:val="19"/>
              </w:rPr>
              <w:t>CPU Utilization</w:t>
            </w:r>
          </w:p>
        </w:tc>
        <w:tc>
          <w:tcPr>
            <w:tcW w:type="dxa" w:w="1560"/>
          </w:tcPr>
          <w:p>
            <w:r>
              <w:rPr>
                <w:rFonts w:ascii="Calibri" w:hAnsi="Calibri"/>
                <w:b w:val="0"/>
                <w:i w:val="0"/>
                <w:color w:val="000000"/>
                <w:sz w:val="19"/>
              </w:rPr>
              <w:t>TimesFM (Quantile)</w:t>
            </w:r>
          </w:p>
        </w:tc>
        <w:tc>
          <w:tcPr>
            <w:tcW w:type="dxa" w:w="1560"/>
          </w:tcPr>
          <w:p>
            <w:r>
              <w:rPr>
                <w:rFonts w:ascii="Calibri" w:hAnsi="Calibri"/>
                <w:b w:val="0"/>
                <w:i w:val="0"/>
                <w:color w:val="000000"/>
                <w:sz w:val="19"/>
              </w:rPr>
              <w:t>0.6214</w:t>
            </w:r>
          </w:p>
        </w:tc>
        <w:tc>
          <w:tcPr>
            <w:tcW w:type="dxa" w:w="1560"/>
          </w:tcPr>
          <w:p>
            <w:r>
              <w:rPr>
                <w:rFonts w:ascii="Calibri" w:hAnsi="Calibri"/>
                <w:b w:val="0"/>
                <w:i w:val="0"/>
                <w:color w:val="000000"/>
                <w:sz w:val="19"/>
              </w:rPr>
              <w:t>0.8125</w:t>
            </w:r>
          </w:p>
        </w:tc>
        <w:tc>
          <w:tcPr>
            <w:tcW w:type="dxa" w:w="1560"/>
          </w:tcPr>
          <w:p>
            <w:r>
              <w:rPr>
                <w:rFonts w:ascii="Calibri" w:hAnsi="Calibri"/>
                <w:b w:val="0"/>
                <w:i w:val="0"/>
                <w:color w:val="000000"/>
                <w:sz w:val="19"/>
              </w:rPr>
              <w:t>0.7042</w:t>
            </w:r>
          </w:p>
        </w:tc>
        <w:tc>
          <w:tcPr>
            <w:tcW w:type="dxa" w:w="1560"/>
          </w:tcPr>
          <w:p>
            <w:r>
              <w:rPr>
                <w:rFonts w:ascii="Calibri" w:hAnsi="Calibri"/>
                <w:b w:val="0"/>
                <w:i w:val="0"/>
                <w:color w:val="000000"/>
                <w:sz w:val="19"/>
              </w:rPr>
              <w:t>0.8012</w:t>
            </w:r>
          </w:p>
        </w:tc>
      </w:tr>
      <w:tr>
        <w:tc>
          <w:tcPr>
            <w:tcW w:type="dxa" w:w="1560"/>
          </w:tcPr>
          <w:p>
            <w:r>
              <w:rPr>
                <w:rFonts w:ascii="Calibri" w:hAnsi="Calibri"/>
                <w:b w:val="0"/>
                <w:i w:val="0"/>
                <w:color w:val="000000"/>
                <w:sz w:val="19"/>
              </w:rPr>
              <w:t>CPU Utilization</w:t>
            </w:r>
          </w:p>
        </w:tc>
        <w:tc>
          <w:tcPr>
            <w:tcW w:type="dxa" w:w="1560"/>
          </w:tcPr>
          <w:p>
            <w:r>
              <w:rPr>
                <w:rFonts w:ascii="Calibri" w:hAnsi="Calibri"/>
                <w:b w:val="0"/>
                <w:i w:val="0"/>
                <w:color w:val="000000"/>
                <w:sz w:val="19"/>
              </w:rPr>
              <w:t>TimesFM (Z-Score)</w:t>
            </w:r>
          </w:p>
        </w:tc>
        <w:tc>
          <w:tcPr>
            <w:tcW w:type="dxa" w:w="1560"/>
          </w:tcPr>
          <w:p>
            <w:r>
              <w:rPr>
                <w:rFonts w:ascii="Calibri" w:hAnsi="Calibri"/>
                <w:b w:val="0"/>
                <w:i w:val="0"/>
                <w:color w:val="000000"/>
                <w:sz w:val="19"/>
              </w:rPr>
              <w:t>0.6651</w:t>
            </w:r>
          </w:p>
        </w:tc>
        <w:tc>
          <w:tcPr>
            <w:tcW w:type="dxa" w:w="1560"/>
          </w:tcPr>
          <w:p>
            <w:r>
              <w:rPr>
                <w:rFonts w:ascii="Calibri" w:hAnsi="Calibri"/>
                <w:b w:val="0"/>
                <w:i w:val="0"/>
                <w:color w:val="000000"/>
                <w:sz w:val="19"/>
              </w:rPr>
              <w:t>0.7214</w:t>
            </w:r>
          </w:p>
        </w:tc>
        <w:tc>
          <w:tcPr>
            <w:tcW w:type="dxa" w:w="1560"/>
          </w:tcPr>
          <w:p>
            <w:r>
              <w:rPr>
                <w:rFonts w:ascii="Calibri" w:hAnsi="Calibri"/>
                <w:b w:val="0"/>
                <w:i w:val="0"/>
                <w:color w:val="000000"/>
                <w:sz w:val="19"/>
              </w:rPr>
              <w:t>0.6921</w:t>
            </w:r>
          </w:p>
        </w:tc>
        <w:tc>
          <w:tcPr>
            <w:tcW w:type="dxa" w:w="1560"/>
          </w:tcPr>
          <w:p>
            <w:r>
              <w:rPr>
                <w:rFonts w:ascii="Calibri" w:hAnsi="Calibri"/>
                <w:b w:val="0"/>
                <w:i w:val="0"/>
                <w:color w:val="000000"/>
                <w:sz w:val="19"/>
              </w:rPr>
              <w:t>0.8145</w:t>
            </w:r>
          </w:p>
        </w:tc>
      </w:tr>
      <w:tr>
        <w:tc>
          <w:tcPr>
            <w:tcW w:type="dxa" w:w="1560"/>
          </w:tcPr>
          <w:p>
            <w:r>
              <w:rPr>
                <w:rFonts w:ascii="Calibri" w:hAnsi="Calibri"/>
                <w:b w:val="0"/>
                <w:i w:val="0"/>
                <w:color w:val="000000"/>
                <w:sz w:val="19"/>
              </w:rPr>
              <w:t>CPU Utilization</w:t>
            </w:r>
          </w:p>
        </w:tc>
        <w:tc>
          <w:tcPr>
            <w:tcW w:type="dxa" w:w="1560"/>
          </w:tcPr>
          <w:p>
            <w:r>
              <w:rPr>
                <w:rFonts w:ascii="Calibri" w:hAnsi="Calibri"/>
                <w:b w:val="0"/>
                <w:i w:val="0"/>
                <w:color w:val="000000"/>
                <w:sz w:val="19"/>
              </w:rPr>
              <w:t>Isolation Forest (Baseline)</w:t>
            </w:r>
          </w:p>
        </w:tc>
        <w:tc>
          <w:tcPr>
            <w:tcW w:type="dxa" w:w="1560"/>
          </w:tcPr>
          <w:p>
            <w:r>
              <w:rPr>
                <w:rFonts w:ascii="Calibri" w:hAnsi="Calibri"/>
                <w:b w:val="0"/>
                <w:i w:val="0"/>
                <w:color w:val="000000"/>
                <w:sz w:val="19"/>
              </w:rPr>
              <w:t>0.5214</w:t>
            </w:r>
          </w:p>
        </w:tc>
        <w:tc>
          <w:tcPr>
            <w:tcW w:type="dxa" w:w="1560"/>
          </w:tcPr>
          <w:p>
            <w:r>
              <w:rPr>
                <w:rFonts w:ascii="Calibri" w:hAnsi="Calibri"/>
                <w:b w:val="0"/>
                <w:i w:val="0"/>
                <w:color w:val="000000"/>
                <w:sz w:val="19"/>
              </w:rPr>
              <w:t>0.6811</w:t>
            </w:r>
          </w:p>
        </w:tc>
        <w:tc>
          <w:tcPr>
            <w:tcW w:type="dxa" w:w="1560"/>
          </w:tcPr>
          <w:p>
            <w:r>
              <w:rPr>
                <w:rFonts w:ascii="Calibri" w:hAnsi="Calibri"/>
                <w:b w:val="0"/>
                <w:i w:val="0"/>
                <w:color w:val="000000"/>
                <w:sz w:val="19"/>
              </w:rPr>
              <w:t>0.5906</w:t>
            </w:r>
          </w:p>
        </w:tc>
        <w:tc>
          <w:tcPr>
            <w:tcW w:type="dxa" w:w="1560"/>
          </w:tcPr>
          <w:p>
            <w:r>
              <w:rPr>
                <w:rFonts w:ascii="Calibri" w:hAnsi="Calibri"/>
                <w:b w:val="0"/>
                <w:i w:val="0"/>
                <w:color w:val="000000"/>
                <w:sz w:val="19"/>
              </w:rPr>
              <w:t>0.6912</w:t>
            </w:r>
          </w:p>
        </w:tc>
      </w:tr>
      <w:tr>
        <w:tc>
          <w:tcPr>
            <w:tcW w:type="dxa" w:w="1560"/>
          </w:tcPr>
          <w:p>
            <w:r>
              <w:rPr>
                <w:rFonts w:ascii="Calibri" w:hAnsi="Calibri"/>
                <w:b w:val="0"/>
                <w:i w:val="0"/>
                <w:color w:val="000000"/>
                <w:sz w:val="19"/>
              </w:rPr>
              <w:t>CPU Utilization</w:t>
            </w:r>
          </w:p>
        </w:tc>
        <w:tc>
          <w:tcPr>
            <w:tcW w:type="dxa" w:w="1560"/>
          </w:tcPr>
          <w:p>
            <w:r>
              <w:rPr>
                <w:rFonts w:ascii="Calibri" w:hAnsi="Calibri"/>
                <w:b w:val="0"/>
                <w:i w:val="0"/>
                <w:color w:val="000000"/>
                <w:sz w:val="19"/>
              </w:rPr>
              <w:t>LSTM Autoencoder (Baseline)</w:t>
            </w:r>
          </w:p>
        </w:tc>
        <w:tc>
          <w:tcPr>
            <w:tcW w:type="dxa" w:w="1560"/>
          </w:tcPr>
          <w:p>
            <w:r>
              <w:rPr>
                <w:rFonts w:ascii="Calibri" w:hAnsi="Calibri"/>
                <w:b w:val="0"/>
                <w:i w:val="0"/>
                <w:color w:val="000000"/>
                <w:sz w:val="19"/>
              </w:rPr>
              <w:t>0.5841</w:t>
            </w:r>
          </w:p>
        </w:tc>
        <w:tc>
          <w:tcPr>
            <w:tcW w:type="dxa" w:w="1560"/>
          </w:tcPr>
          <w:p>
            <w:r>
              <w:rPr>
                <w:rFonts w:ascii="Calibri" w:hAnsi="Calibri"/>
                <w:b w:val="0"/>
                <w:i w:val="0"/>
                <w:color w:val="000000"/>
                <w:sz w:val="19"/>
              </w:rPr>
              <w:t>0.7215</w:t>
            </w:r>
          </w:p>
        </w:tc>
        <w:tc>
          <w:tcPr>
            <w:tcW w:type="dxa" w:w="1560"/>
          </w:tcPr>
          <w:p>
            <w:r>
              <w:rPr>
                <w:rFonts w:ascii="Calibri" w:hAnsi="Calibri"/>
                <w:b w:val="0"/>
                <w:i w:val="0"/>
                <w:color w:val="000000"/>
                <w:sz w:val="19"/>
              </w:rPr>
              <w:t>0.6455</w:t>
            </w:r>
          </w:p>
        </w:tc>
        <w:tc>
          <w:tcPr>
            <w:tcW w:type="dxa" w:w="1560"/>
          </w:tcPr>
          <w:p>
            <w:r>
              <w:rPr>
                <w:rFonts w:ascii="Calibri" w:hAnsi="Calibri"/>
                <w:b w:val="0"/>
                <w:i w:val="0"/>
                <w:color w:val="000000"/>
                <w:sz w:val="19"/>
              </w:rPr>
              <w:t>0.7645</w:t>
            </w:r>
          </w:p>
        </w:tc>
      </w:tr>
    </w:tbl>
    <w:p>
      <w:pPr>
        <w:spacing w:after="240"/>
      </w:pPr>
    </w:p>
    <w:p>
      <w:pPr>
        <w:keepNext/>
        <w:spacing w:before="360" w:after="120"/>
      </w:pPr>
      <w:r>
        <w:rPr>
          <w:rFonts w:ascii="Segoe UI" w:hAnsi="Segoe UI"/>
          <w:b/>
          <w:i w:val="0"/>
          <w:color w:val="2B6CB0"/>
          <w:sz w:val="26"/>
        </w:rPr>
        <w:t>6. Visual Detections Analysis</w:t>
      </w:r>
    </w:p>
    <w:p>
      <w:pPr>
        <w:spacing w:after="160" w:line="276" w:lineRule="auto"/>
      </w:pPr>
      <w:r>
        <w:rPr>
          <w:rFonts w:ascii="Calibri" w:hAnsi="Calibri"/>
          <w:b w:val="0"/>
          <w:i w:val="0"/>
          <w:color w:val="334155"/>
          <w:sz w:val="22"/>
        </w:rPr>
        <w:t>Below are the visual results of the TimesFM Sentinel pipeline. The shaded pink regions indicate the ground-truth anomaly windows, the yellow envelope represents the 80% predicted confidence band, and the red markers denote the anomaly flags raised by the system.</w:t>
      </w:r>
    </w:p>
    <w:p>
      <w:pPr>
        <w:spacing w:after="160" w:line="276" w:lineRule="auto"/>
      </w:pPr>
      <w:r>
        <w:rPr>
          <w:rFonts w:ascii="Calibri" w:hAnsi="Calibri"/>
          <w:b w:val="0"/>
          <w:i/>
          <w:color w:val="334155"/>
          <w:sz w:val="22"/>
        </w:rPr>
        <w:t>Figure 6.1: Ambient Temperature System Failure Detections</w:t>
      </w:r>
    </w:p>
    <w:p>
      <w:r>
        <w:drawing>
          <wp:inline xmlns:a="http://schemas.openxmlformats.org/drawingml/2006/main" xmlns:pic="http://schemas.openxmlformats.org/drawingml/2006/picture">
            <wp:extent cx="5669280" cy="2319251"/>
            <wp:docPr id="1" name="Picture 1"/>
            <wp:cNvGraphicFramePr>
              <a:graphicFrameLocks noChangeAspect="1"/>
            </wp:cNvGraphicFramePr>
            <a:graphic>
              <a:graphicData uri="http://schemas.openxmlformats.org/drawingml/2006/picture">
                <pic:pic>
                  <pic:nvPicPr>
                    <pic:cNvPr id="0" name="temp_report_plot.png"/>
                    <pic:cNvPicPr/>
                  </pic:nvPicPr>
                  <pic:blipFill>
                    <a:blip r:embed="rId9"/>
                    <a:stretch>
                      <a:fillRect/>
                    </a:stretch>
                  </pic:blipFill>
                  <pic:spPr>
                    <a:xfrm>
                      <a:off x="0" y="0"/>
                      <a:ext cx="5669280" cy="2319251"/>
                    </a:xfrm>
                    <a:prstGeom prst="rect"/>
                  </pic:spPr>
                </pic:pic>
              </a:graphicData>
            </a:graphic>
          </wp:inline>
        </w:drawing>
      </w:r>
    </w:p>
    <w:p>
      <w:pPr>
        <w:spacing w:after="240"/>
      </w:pPr>
    </w:p>
    <w:p>
      <w:pPr>
        <w:spacing w:after="160" w:line="276" w:lineRule="auto"/>
      </w:pPr>
      <w:r>
        <w:rPr>
          <w:rFonts w:ascii="Calibri" w:hAnsi="Calibri"/>
          <w:b w:val="0"/>
          <w:i/>
          <w:color w:val="334155"/>
          <w:sz w:val="22"/>
        </w:rPr>
        <w:t>Figure 6.2: CPU Utilization ASG Misconfiguration Detections</w:t>
      </w:r>
    </w:p>
    <w:p>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cpu_report_plot.png"/>
                    <pic:cNvPicPr/>
                  </pic:nvPicPr>
                  <pic:blipFill>
                    <a:blip r:embed="rId10"/>
                    <a:stretch>
                      <a:fillRect/>
                    </a:stretch>
                  </pic:blipFill>
                  <pic:spPr>
                    <a:xfrm>
                      <a:off x="0" y="0"/>
                      <a:ext cx="5669280" cy="2319251"/>
                    </a:xfrm>
                    <a:prstGeom prst="rect"/>
                  </pic:spPr>
                </pic:pic>
              </a:graphicData>
            </a:graphic>
          </wp:inline>
        </w:drawing>
      </w:r>
    </w:p>
    <w:p>
      <w:pPr>
        <w:spacing w:after="360"/>
      </w:pPr>
    </w:p>
    <w:p>
      <w:r>
        <w:br w:type="page"/>
      </w:r>
    </w:p>
    <w:p>
      <w:pPr>
        <w:keepNext/>
        <w:spacing w:before="360" w:after="120"/>
        <w:pBdr>
          <w:bottom w:val="single" w:sz="12" w:space="4" w:color="2B6CB0"/>
        </w:pBdr>
      </w:pPr>
      <w:r>
        <w:rPr>
          <w:rFonts w:ascii="Segoe UI" w:hAnsi="Segoe UI"/>
          <w:b/>
          <w:i w:val="0"/>
          <w:color w:val="1A365D"/>
          <w:sz w:val="32"/>
        </w:rPr>
        <w:t>7. Deployment &amp; Streamlit Cloud</w:t>
      </w:r>
    </w:p>
    <w:p>
      <w:pPr>
        <w:spacing w:after="160" w:line="276" w:lineRule="auto"/>
      </w:pPr>
      <w:r>
        <w:rPr>
          <w:rFonts w:ascii="Calibri" w:hAnsi="Calibri"/>
          <w:b w:val="0"/>
          <w:i w:val="0"/>
          <w:color w:val="334155"/>
          <w:sz w:val="22"/>
        </w:rPr>
        <w:t>The best performing configuration was wrapped in a user-facing dashboard (app.py) featuring HSL color schemes. It was deployed via Streamlit Community Cloud (connected to GitHub) to allow recruiters and portfolio viewers to interact with the model in real time.</w:t>
      </w:r>
    </w:p>
    <w:p>
      <w:pPr>
        <w:pStyle w:val="ListBullet"/>
        <w:spacing w:after="80"/>
      </w:pPr>
      <w:r>
        <w:rPr>
          <w:rFonts w:ascii="Calibri" w:hAnsi="Calibri"/>
          <w:b/>
          <w:i w:val="0"/>
          <w:color w:val="334155"/>
          <w:sz w:val="22"/>
        </w:rPr>
        <w:t xml:space="preserve">Demo Mode: </w:t>
      </w:r>
      <w:r>
        <w:rPr>
          <w:rFonts w:ascii="Calibri" w:hAnsi="Calibri"/>
          <w:b w:val="0"/>
          <w:i w:val="0"/>
          <w:color w:val="334155"/>
          <w:sz w:val="22"/>
        </w:rPr>
        <w:t>Streams preloaded evaluations of TimesFM's forecasts, letting mobile users adjust Z-score thresholds and prediction intervals, instantly regenerating F1-scores and precision metrics.</w:t>
      </w:r>
    </w:p>
    <w:p>
      <w:pPr>
        <w:pStyle w:val="ListBullet"/>
        <w:spacing w:after="80"/>
      </w:pPr>
      <w:r>
        <w:rPr>
          <w:rFonts w:ascii="Calibri" w:hAnsi="Calibri"/>
          <w:b/>
          <w:i w:val="0"/>
          <w:color w:val="334155"/>
          <w:sz w:val="22"/>
        </w:rPr>
        <w:t xml:space="preserve">Upload Mode: </w:t>
      </w:r>
      <w:r>
        <w:rPr>
          <w:rFonts w:ascii="Calibri" w:hAnsi="Calibri"/>
          <w:b w:val="0"/>
          <w:i w:val="0"/>
          <w:color w:val="334155"/>
          <w:sz w:val="22"/>
        </w:rPr>
        <w:t>Accepts custom time series CSV files and immediately triggers a lightweight Isolation Forest model to flag anomalies on the fly, keeping server CPU requirements to zero.</w:t>
      </w:r>
    </w:p>
    <w:p>
      <w:pPr>
        <w:keepNext/>
        <w:spacing w:before="360" w:after="120"/>
        <w:pBdr>
          <w:bottom w:val="single" w:sz="12" w:space="4" w:color="2B6CB0"/>
        </w:pBdr>
      </w:pPr>
      <w:r>
        <w:rPr>
          <w:rFonts w:ascii="Segoe UI" w:hAnsi="Segoe UI"/>
          <w:b/>
          <w:i w:val="0"/>
          <w:color w:val="1A365D"/>
          <w:sz w:val="32"/>
        </w:rPr>
        <w:t>8. System Limitations &amp; Future Work</w:t>
      </w:r>
    </w:p>
    <w:p>
      <w:pPr>
        <w:pStyle w:val="ListBullet"/>
        <w:spacing w:after="80"/>
      </w:pPr>
      <w:r>
        <w:rPr>
          <w:rFonts w:ascii="Calibri" w:hAnsi="Calibri"/>
          <w:b/>
          <w:i w:val="0"/>
          <w:color w:val="334155"/>
          <w:sz w:val="22"/>
        </w:rPr>
        <w:t xml:space="preserve">VRAM Dependency: </w:t>
      </w:r>
      <w:r>
        <w:rPr>
          <w:rFonts w:ascii="Calibri" w:hAnsi="Calibri"/>
          <w:b w:val="0"/>
          <w:i w:val="0"/>
          <w:color w:val="334155"/>
          <w:sz w:val="22"/>
        </w:rPr>
        <w:t>Executing a 200M parameter transformer requires dedicated GPU nodes. On CPU, inference takes up to 40 seconds per stream, limiting its use in low-latency embedded systems.</w:t>
      </w:r>
    </w:p>
    <w:p>
      <w:pPr>
        <w:pStyle w:val="ListBullet"/>
        <w:spacing w:after="80"/>
      </w:pPr>
      <w:r>
        <w:rPr>
          <w:rFonts w:ascii="Calibri" w:hAnsi="Calibri"/>
          <w:b/>
          <w:i w:val="0"/>
          <w:color w:val="334155"/>
          <w:sz w:val="22"/>
        </w:rPr>
        <w:t xml:space="preserve">Quantile Crossings: </w:t>
      </w:r>
      <w:r>
        <w:rPr>
          <w:rFonts w:ascii="Calibri" w:hAnsi="Calibri"/>
          <w:b w:val="0"/>
          <w:i w:val="0"/>
          <w:color w:val="334155"/>
          <w:sz w:val="22"/>
        </w:rPr>
        <w:t>Under extreme noise conditions, predicted quantiles (like 10th and 90th percentiles) can cross. We solved this by using standard monotonic boundary sorting (fix_quantile_crossing=True).</w:t>
      </w:r>
    </w:p>
    <w:p>
      <w:pPr>
        <w:pStyle w:val="ListBullet"/>
        <w:spacing w:after="80"/>
      </w:pPr>
      <w:r>
        <w:rPr>
          <w:rFonts w:ascii="Calibri" w:hAnsi="Calibri"/>
          <w:b/>
          <w:i w:val="0"/>
          <w:color w:val="334155"/>
          <w:sz w:val="22"/>
        </w:rPr>
        <w:t xml:space="preserve">Future Work: LoRA Tuning: </w:t>
      </w:r>
      <w:r>
        <w:rPr>
          <w:rFonts w:ascii="Calibri" w:hAnsi="Calibri"/>
          <w:b w:val="0"/>
          <w:i w:val="0"/>
          <w:color w:val="334155"/>
          <w:sz w:val="22"/>
        </w:rPr>
        <w:t>If zero-shot forecasts underperform, PEFT (Parameter-Efficient Fine-Tuning) can adapt TimesFM's multi-head attention weights (q_proj, v_proj) on specific domain metrics, training less than 0.5% of total parameters.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