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rHeight w:val="148.55468749999997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SWTID1741164914151925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FitFlex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Rubashree R 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rubashree2022@gmail.com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Suruthi Selvam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ssuruthiselvam@gmail.com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Ezhilarasi K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eezhil2005@gmail.com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Kavitha B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kavibabu487@gmail.com</w:t>
            </w:r>
          </w:p>
        </w:tc>
      </w:tr>
    </w:tbl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Browsing Exercises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Body Parts</w:t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Equipment</w:t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Popular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Exercise Details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exercise GIF, Target muscles, secondary muscles.</w:t>
            </w:r>
          </w:p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Experience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Navigate Back to Home page. </w:t>
            </w:r>
          </w:p>
        </w:tc>
      </w:tr>
    </w:tbl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non-functional requirements of the proposed solution.</w:t>
      </w:r>
    </w:p>
    <w:tbl>
      <w:tblPr>
        <w:tblStyle w:val="Table4"/>
        <w:tblW w:w="931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3465"/>
        <w:gridCol w:w="4935"/>
        <w:tblGridChange w:id="0">
          <w:tblGrid>
            <w:gridCol w:w="915"/>
            <w:gridCol w:w="3465"/>
            <w:gridCol w:w="4935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Interface (UI) should be easy to navigate for all users of all skill levels.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requests must be secure.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handle API failures gracefully.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application should load data quickly.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3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bswSa4O558ffhkTNEE07HDke5A==">CgMxLjA4AHIhMVJ3Tkhpd1pjV216Vk9YVTNYbWtjcnliUk5hY04wLWJv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