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560"/>
        <w:jc w:val="center"/>
      </w:pPr>
      <w:r>
        <w:drawing>
          <wp:inline xmlns:a="http://schemas.openxmlformats.org/drawingml/2006/main" xmlns:pic="http://schemas.openxmlformats.org/drawingml/2006/picture">
            <wp:extent cx="5806440" cy="1585637"/>
            <wp:docPr id="1" name="Picture 1"/>
            <wp:cNvGraphicFramePr>
              <a:graphicFrameLocks noChangeAspect="1"/>
            </wp:cNvGraphicFramePr>
            <a:graphic>
              <a:graphicData uri="http://schemas.openxmlformats.org/drawingml/2006/picture">
                <pic:pic>
                  <pic:nvPicPr>
                    <pic:cNvPr id="0" name="Logo-completo-negro-sinfondo.png"/>
                    <pic:cNvPicPr/>
                  </pic:nvPicPr>
                  <pic:blipFill>
                    <a:blip r:embed="rId11"/>
                    <a:stretch>
                      <a:fillRect/>
                    </a:stretch>
                  </pic:blipFill>
                  <pic:spPr>
                    <a:xfrm>
                      <a:off x="0" y="0"/>
                      <a:ext cx="5806440" cy="1585637"/>
                    </a:xfrm>
                    <a:prstGeom prst="rect"/>
                  </pic:spPr>
                </pic:pic>
              </a:graphicData>
            </a:graphic>
          </wp:inline>
        </w:drawing>
      </w:r>
    </w:p>
    <w:tbl>
      <w:tblPr>
        <w:tblW w:type="auto" w:w="0"/>
        <w:jc w:val="center"/>
        <w:tblLayout w:type="fixed"/>
        <w:tblLook w:firstColumn="1" w:firstRow="1" w:lastColumn="0" w:lastRow="0" w:noHBand="0" w:noVBand="1" w:val="04A0"/>
      </w:tblPr>
      <w:tblGrid>
        <w:gridCol w:w="4933"/>
        <w:gridCol w:w="4933"/>
      </w:tblGrid>
      <w:tr>
        <w:tc>
          <w:tcPr>
            <w:tcW w:type="dxa" w:w="4649"/>
            <w:shd w:fill="4A98C9"/>
            <w:tcMar>
              <w:top w:w="25" w:type="dxa"/>
              <w:start w:w="0" w:type="dxa"/>
              <w:bottom w:w="25" w:type="dxa"/>
              <w:end w:w="0" w:type="dxa"/>
            </w:tcMar>
          </w:tcPr>
          <w:p/>
        </w:tc>
        <w:tc>
          <w:tcPr>
            <w:tcW w:type="dxa" w:w="4649"/>
            <w:shd w:fill="6BAA68"/>
            <w:tcMar>
              <w:top w:w="25" w:type="dxa"/>
              <w:start w:w="0" w:type="dxa"/>
              <w:bottom w:w="25" w:type="dxa"/>
              <w:end w:w="0" w:type="dxa"/>
            </w:tcMar>
          </w:tcPr>
          <w:p/>
        </w:tc>
      </w:tr>
    </w:tbl>
    <w:p>
      <w:pPr>
        <w:spacing w:after="0"/>
      </w:pPr>
    </w:p>
    <w:p>
      <w:pPr>
        <w:spacing w:before="360" w:after="40"/>
        <w:jc w:val="center"/>
      </w:pPr>
      <w:r>
        <w:rPr>
          <w:rFonts w:ascii="Carlito" w:hAnsi="Carlito"/>
          <w:b/>
          <w:color w:val="4A98C9"/>
          <w:sz w:val="54"/>
        </w:rPr>
        <w:t>PLATAFORMA DE EVENTOS</w:t>
      </w:r>
    </w:p>
    <w:p>
      <w:pPr>
        <w:spacing w:after="400"/>
        <w:jc w:val="center"/>
      </w:pPr>
      <w:r>
        <w:rPr>
          <w:rFonts w:ascii="Carlito" w:hAnsi="Carlito"/>
          <w:b/>
          <w:color w:val="6BAA68"/>
          <w:sz w:val="34"/>
        </w:rPr>
        <w:t>ACCESO QR + EXPERIENCIA SOCIAL EFÍMERA</w:t>
      </w:r>
    </w:p>
    <w:p>
      <w:pPr>
        <w:spacing w:after="560"/>
        <w:jc w:val="center"/>
      </w:pPr>
      <w:r>
        <w:rPr>
          <w:rFonts w:ascii="Carlito" w:hAnsi="Carlito"/>
          <w:b/>
          <w:color w:val="17202A"/>
          <w:sz w:val="28"/>
        </w:rPr>
        <w:t>Propuesta funcional y comercial</w:t>
      </w:r>
    </w:p>
    <w:tbl>
      <w:tblPr>
        <w:tblW w:type="auto" w:w="0"/>
        <w:jc w:val="center"/>
        <w:tblLayout w:type="fixed"/>
        <w:tblLook w:firstColumn="1" w:firstRow="1" w:lastColumn="0" w:lastRow="0" w:noHBand="0" w:noVBand="1" w:val="04A0"/>
      </w:tblPr>
      <w:tblGrid>
        <w:gridCol w:w="142"/>
        <w:gridCol w:w="9071"/>
      </w:tblGrid>
      <w:tr>
        <w:tc>
          <w:tcPr>
            <w:tcW w:type="dxa" w:w="142"/>
            <w:shd w:fill="4A98C9"/>
          </w:tcPr>
          <w:p/>
        </w:tc>
        <w:tc>
          <w:tcPr>
            <w:tcW w:type="dxa" w:w="9071"/>
            <w:shd w:fill="EAF4FA"/>
            <w:tcMar>
              <w:top w:w="130" w:type="dxa"/>
              <w:start w:w="150" w:type="dxa"/>
              <w:bottom w:w="130" w:type="dxa"/>
              <w:end w:w="150" w:type="dxa"/>
            </w:tcMar>
            <w:tcBorders>
              <w:top w:val="single" w:sz="6" w:color="4A98C9"/>
              <w:bottom w:val="single" w:sz="6" w:color="4A98C9"/>
              <w:right w:val="single" w:sz="6" w:color="4A98C9"/>
            </w:tcBorders>
          </w:tcPr>
          <w:p>
            <w:pPr>
              <w:spacing w:after="60"/>
            </w:pPr>
            <w:r>
              <w:rPr>
                <w:rFonts w:ascii="Carlito" w:hAnsi="Carlito"/>
                <w:b/>
                <w:color w:val="4A98C9"/>
                <w:sz w:val="21"/>
              </w:rPr>
              <w:t>PROPÓSITO DE LA PROPUESTA</w:t>
            </w:r>
          </w:p>
          <w:p>
            <w:pPr>
              <w:spacing w:after="0" w:line="259" w:lineRule="auto"/>
            </w:pPr>
            <w:r>
              <w:rPr>
                <w:rFonts w:ascii="Carlito" w:hAnsi="Carlito"/>
                <w:color w:val="17202A"/>
                <w:sz w:val="20"/>
              </w:rPr>
              <w:t>Presentar una solución digital para organizar eventos, administrar promotores, emitir entradas individuales con QR dinámico, controlar el ingreso y ofrecer una experiencia social exclusiva entre asistentes verificados.</w:t>
            </w:r>
          </w:p>
        </w:tc>
      </w:tr>
    </w:tbl>
    <w:p>
      <w:pPr>
        <w:spacing w:after="0"/>
      </w:pPr>
    </w:p>
    <w:p>
      <w:pPr>
        <w:spacing w:before="480" w:after="40"/>
        <w:jc w:val="center"/>
      </w:pPr>
      <w:r>
        <w:rPr>
          <w:rFonts w:ascii="Carlito" w:hAnsi="Carlito"/>
          <w:b/>
          <w:color w:val="17202A"/>
          <w:sz w:val="23"/>
        </w:rPr>
        <w:t>Preparado por GestionAR Business</w:t>
      </w:r>
    </w:p>
    <w:p>
      <w:pPr>
        <w:spacing w:after="20"/>
        <w:jc w:val="center"/>
      </w:pPr>
      <w:r>
        <w:rPr>
          <w:rFonts w:ascii="Carlito" w:hAnsi="Carlito"/>
          <w:color w:val="4E5D6C"/>
          <w:sz w:val="20"/>
        </w:rPr>
        <w:t>Olavarría, Buenos Aires · Julio de 2026</w:t>
      </w:r>
    </w:p>
    <w:p>
      <w:pPr>
        <w:jc w:val="center"/>
      </w:pPr>
      <w:r>
        <w:rPr>
          <w:rFonts w:ascii="Carlito" w:hAnsi="Carlito"/>
          <w:color w:val="4E5D6C"/>
          <w:sz w:val="20"/>
        </w:rPr>
        <w:t>gestionar.business@gmail.com  ·  2284 661145</w:t>
      </w:r>
    </w:p>
    <w:p>
      <w:r>
        <w:br w:type="page"/>
      </w:r>
    </w:p>
    <w:p>
      <w:pPr>
        <w:spacing w:before="40" w:after="160"/>
        <w:keepNext/>
        <w:pBdr>
          <w:bottom w:val="single" w:sz="14" w:space="5" w:color="4A98C9"/>
        </w:pBdr>
      </w:pPr>
      <w:r>
        <w:rPr>
          <w:rFonts w:ascii="Carlito" w:hAnsi="Carlito"/>
          <w:b/>
          <w:color w:val="4A98C9"/>
          <w:sz w:val="40"/>
        </w:rPr>
        <w:t>1. Propuesta de valor y requerimientos funcionales</w:t>
      </w:r>
    </w:p>
    <w:p>
      <w:pPr>
        <w:spacing w:after="240"/>
      </w:pPr>
      <w:r>
        <w:rPr>
          <w:rFonts w:ascii="Carlito" w:hAnsi="Carlito"/>
          <w:color w:val="4E5D6C"/>
          <w:sz w:val="21"/>
        </w:rPr>
        <w:t>Una plataforma web para gestionar el evento de punta a punta y transformar la entrada en una experiencia que comienza antes de la fiesta.</w:t>
      </w:r>
    </w:p>
    <w:p>
      <w:pPr>
        <w:spacing w:before="160" w:after="100"/>
        <w:keepNext/>
      </w:pPr>
      <w:r>
        <w:rPr>
          <w:rFonts w:ascii="Carlito" w:hAnsi="Carlito"/>
          <w:b/>
          <w:color w:val="17202A"/>
          <w:sz w:val="27"/>
        </w:rPr>
        <w:t>1.1 ¿De qué se trata?</w:t>
      </w:r>
    </w:p>
    <w:p>
      <w:pPr>
        <w:spacing w:after="140" w:line="269" w:lineRule="auto"/>
        <w:jc w:val="both"/>
      </w:pPr>
      <w:r>
        <w:t>La propuesta consiste en una plataforma web progresiva, accesible desde el navegador del teléfono y utilizable como una aplicación, sin necesidad de descargarla desde App Store o Google Play. La plataforma permite crear múltiples eventos y administrar en un mismo lugar la venta mediante promotores, la emisión de entradas individuales, el control de acceso y la interacción social entre asistentes.</w:t>
      </w:r>
    </w:p>
    <w:p>
      <w:pPr>
        <w:spacing w:after="140" w:line="269" w:lineRule="auto"/>
        <w:jc w:val="both"/>
      </w:pPr>
      <w:r>
        <w:t>Cada evento funciona como un entorno independiente: cuenta con sus propios tipos de entrada, precios, cupos, promotores, guardias, asistentes, horarios y experiencia social. El organizador conserva el control operativo y puede reutilizar configuraciones duplicando eventos anteriores.</w:t>
      </w:r>
    </w:p>
    <w:tbl>
      <w:tblPr>
        <w:tblW w:type="auto" w:w="0"/>
        <w:jc w:val="center"/>
        <w:tblLayout w:type="fixed"/>
        <w:tblLook w:firstColumn="1" w:firstRow="1" w:lastColumn="0" w:lastRow="0" w:noHBand="0" w:noVBand="1" w:val="04A0"/>
      </w:tblPr>
      <w:tblGrid>
        <w:gridCol w:w="142"/>
        <w:gridCol w:w="9071"/>
      </w:tblGrid>
      <w:tr>
        <w:tc>
          <w:tcPr>
            <w:tcW w:type="dxa" w:w="142"/>
            <w:shd w:fill="6BAA68"/>
          </w:tcPr>
          <w:p/>
        </w:tc>
        <w:tc>
          <w:tcPr>
            <w:tcW w:type="dxa" w:w="9071"/>
            <w:shd w:fill="EDF6EC"/>
            <w:tcMar>
              <w:top w:w="130" w:type="dxa"/>
              <w:start w:w="150" w:type="dxa"/>
              <w:bottom w:w="130" w:type="dxa"/>
              <w:end w:w="150" w:type="dxa"/>
            </w:tcMar>
            <w:tcBorders>
              <w:top w:val="single" w:sz="6" w:color="6BAA68"/>
              <w:bottom w:val="single" w:sz="6" w:color="6BAA68"/>
              <w:right w:val="single" w:sz="6" w:color="6BAA68"/>
            </w:tcBorders>
          </w:tcPr>
          <w:p>
            <w:pPr>
              <w:spacing w:after="60"/>
            </w:pPr>
            <w:r>
              <w:rPr>
                <w:rFonts w:ascii="Carlito" w:hAnsi="Carlito"/>
                <w:b/>
                <w:color w:val="6BAA68"/>
                <w:sz w:val="21"/>
              </w:rPr>
              <w:t>IDEA CENTRAL</w:t>
            </w:r>
          </w:p>
          <w:p>
            <w:pPr>
              <w:spacing w:after="0" w:line="259" w:lineRule="auto"/>
            </w:pPr>
            <w:r>
              <w:rPr>
                <w:rFonts w:ascii="Carlito" w:hAnsi="Carlito"/>
                <w:color w:val="17202A"/>
                <w:sz w:val="20"/>
              </w:rPr>
              <w:t>El sistema de entradas y control de acceso resuelve una necesidad operativa concreta. La experiencia social es el diferencial: genera expectativa, incentiva la compra anticipada y permite que quienes asistirán comiencen a interactuar antes de encontrarse en el evento.</w:t>
            </w:r>
          </w:p>
        </w:tc>
      </w:tr>
    </w:tbl>
    <w:p>
      <w:pPr>
        <w:spacing w:after="0"/>
      </w:pPr>
    </w:p>
    <w:p>
      <w:pPr>
        <w:spacing w:before="160" w:after="100"/>
        <w:keepNext/>
      </w:pPr>
      <w:r>
        <w:rPr>
          <w:rFonts w:ascii="Carlito" w:hAnsi="Carlito"/>
          <w:b/>
          <w:color w:val="17202A"/>
          <w:sz w:val="27"/>
        </w:rPr>
        <w:t>1.2 ¿Qué valor le brinda al organizador?</w:t>
      </w:r>
    </w:p>
    <w:p>
      <w:pPr>
        <w:pStyle w:val="ListBullet"/>
        <w:spacing w:after="100"/>
      </w:pPr>
      <w:r>
        <w:rPr>
          <w:b/>
        </w:rPr>
        <w:t xml:space="preserve">Diferenciación comercial. </w:t>
      </w:r>
      <w:r>
        <w:t>El evento deja de ofrecer solamente una entrada y pasa a ofrecer una experiencia digital previa, exclusiva para asistentes confirmados.</w:t>
      </w:r>
    </w:p>
    <w:p>
      <w:pPr>
        <w:pStyle w:val="ListBullet"/>
        <w:spacing w:after="100"/>
      </w:pPr>
      <w:r>
        <w:rPr>
          <w:b/>
        </w:rPr>
        <w:t xml:space="preserve">Mayor incentivo para comprar antes. </w:t>
      </w:r>
      <w:r>
        <w:t>La función social se habilita únicamente a quienes ya poseen una entrada válida, convirtiéndose en un beneficio directo de la compra.</w:t>
      </w:r>
    </w:p>
    <w:p>
      <w:pPr>
        <w:pStyle w:val="ListBullet"/>
        <w:spacing w:after="100"/>
      </w:pPr>
      <w:r>
        <w:rPr>
          <w:b/>
        </w:rPr>
        <w:t xml:space="preserve">Control sobre promotores. </w:t>
      </w:r>
      <w:r>
        <w:t>Cada venta queda asociada al promotor que la confirmó, permitiendo conocer el rendimiento individual sin depender de planillas o mensajes dispersos.</w:t>
      </w:r>
    </w:p>
    <w:p>
      <w:pPr>
        <w:pStyle w:val="ListBullet"/>
        <w:spacing w:after="100"/>
      </w:pPr>
      <w:r>
        <w:rPr>
          <w:b/>
        </w:rPr>
        <w:t xml:space="preserve">Acceso más ordenado y seguro. </w:t>
      </w:r>
      <w:r>
        <w:t>Cada entrada posee un QR individual y dinámico, vinculado a la identidad del asistente y utilizable una sola vez.</w:t>
      </w:r>
    </w:p>
    <w:p>
      <w:pPr>
        <w:pStyle w:val="ListBullet"/>
        <w:spacing w:after="100"/>
      </w:pPr>
      <w:r>
        <w:rPr>
          <w:b/>
        </w:rPr>
        <w:t xml:space="preserve">Información en tiempo real. </w:t>
      </w:r>
      <w:r>
        <w:t>El organizador puede consultar entradas emitidas, asistentes ingresados, pendientes, cupos restantes y ventas por promotor.</w:t>
      </w:r>
    </w:p>
    <w:p>
      <w:pPr>
        <w:pStyle w:val="ListBullet"/>
        <w:spacing w:after="100"/>
      </w:pPr>
      <w:r>
        <w:rPr>
          <w:b/>
        </w:rPr>
        <w:t xml:space="preserve">Reutilización y escalabilidad. </w:t>
      </w:r>
      <w:r>
        <w:t>La misma plataforma permite crear nuevas fiestas, duplicar eventos anteriores y operar con diferentes tipos de entrada y equipos de trabajo.</w:t>
      </w:r>
    </w:p>
    <w:p>
      <w:pPr>
        <w:spacing w:before="160" w:after="100"/>
        <w:keepNext/>
      </w:pPr>
      <w:r>
        <w:rPr>
          <w:rFonts w:ascii="Carlito" w:hAnsi="Carlito"/>
          <w:b/>
          <w:color w:val="17202A"/>
          <w:sz w:val="27"/>
        </w:rPr>
        <w:t>1.3 Usuarios y funciones principales</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181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7"/>
              </w:rPr>
              <w:t>Usuario</w:t>
            </w:r>
          </w:p>
        </w:tc>
        <w:tc>
          <w:tcPr>
            <w:tcW w:type="dxa" w:w="4592"/>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7"/>
              </w:rPr>
              <w:t>Función dentro de la plataforma</w:t>
            </w:r>
          </w:p>
        </w:tc>
        <w:tc>
          <w:tcPr>
            <w:tcW w:type="dxa" w:w="294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7"/>
              </w:rPr>
              <w:t>Beneficio principal</w:t>
            </w:r>
          </w:p>
        </w:tc>
      </w:tr>
      <w:tr>
        <w:trPr>
          <w:cantSplit/>
        </w:trPr>
        <w:tc>
          <w:tcPr>
            <w:tcW w:type="dxa" w:w="181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Organizador</w:t>
            </w:r>
          </w:p>
        </w:tc>
        <w:tc>
          <w:tcPr>
            <w:tcW w:type="dxa" w:w="4592"/>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Crea y duplica eventos, configura entradas, asigna promotores y guardias, consulta métricas y modera su evento.</w:t>
            </w:r>
          </w:p>
        </w:tc>
        <w:tc>
          <w:tcPr>
            <w:tcW w:type="dxa" w:w="294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Control integral y trazabilidad.</w:t>
            </w:r>
          </w:p>
        </w:tc>
      </w:tr>
      <w:tr>
        <w:trPr>
          <w:cantSplit/>
        </w:trPr>
        <w:tc>
          <w:tcPr>
            <w:tcW w:type="dxa" w:w="181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Promotor</w:t>
            </w:r>
          </w:p>
        </w:tc>
        <w:tc>
          <w:tcPr>
            <w:tcW w:type="dxa" w:w="4592"/>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Atiende consultas, confirma pagos, genera entradas y visualiza cuántas ventas realizó.</w:t>
            </w:r>
          </w:p>
        </w:tc>
        <w:tc>
          <w:tcPr>
            <w:tcW w:type="dxa" w:w="294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Proceso de venta rápido y medible.</w:t>
            </w:r>
          </w:p>
        </w:tc>
      </w:tr>
      <w:tr>
        <w:trPr>
          <w:cantSplit/>
        </w:trPr>
        <w:tc>
          <w:tcPr>
            <w:tcW w:type="dxa" w:w="181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Guardia</w:t>
            </w:r>
          </w:p>
        </w:tc>
        <w:tc>
          <w:tcPr>
            <w:tcW w:type="dxa" w:w="4592"/>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Escanea el QR, verifica foto y DNI, y confirma el ingreso mediante el botón “Pasar”.</w:t>
            </w:r>
          </w:p>
        </w:tc>
        <w:tc>
          <w:tcPr>
            <w:tcW w:type="dxa" w:w="294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7"/>
              </w:rPr>
              <w:t>Menos fraude y menor discusión en puerta.</w:t>
            </w:r>
          </w:p>
        </w:tc>
      </w:tr>
      <w:tr>
        <w:trPr>
          <w:cantSplit/>
        </w:trPr>
        <w:tc>
          <w:tcPr>
            <w:tcW w:type="dxa" w:w="181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Asistente</w:t>
            </w:r>
          </w:p>
        </w:tc>
        <w:tc>
          <w:tcPr>
            <w:tcW w:type="dxa" w:w="4592"/>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Se registra, compra su entrada, accede a su QR y participa en la experiencia social del evento.</w:t>
            </w:r>
          </w:p>
        </w:tc>
        <w:tc>
          <w:tcPr>
            <w:tcW w:type="dxa" w:w="294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7"/>
              </w:rPr>
              <w:t>Entrada segura y experiencia previa a la fiesta.</w:t>
            </w:r>
          </w:p>
        </w:tc>
      </w:tr>
    </w:tbl>
    <w:p>
      <w:r>
        <w:br w:type="page"/>
      </w:r>
    </w:p>
    <w:p>
      <w:pPr>
        <w:spacing w:before="160" w:after="100"/>
        <w:keepNext/>
      </w:pPr>
      <w:r>
        <w:rPr>
          <w:rFonts w:ascii="Carlito" w:hAnsi="Carlito"/>
          <w:b/>
          <w:color w:val="17202A"/>
          <w:sz w:val="27"/>
        </w:rPr>
        <w:t>1.4 Gestión de eventos y tipos de entrada</w:t>
      </w:r>
    </w:p>
    <w:p>
      <w:pPr>
        <w:spacing w:after="140" w:line="269" w:lineRule="auto"/>
        <w:jc w:val="both"/>
      </w:pPr>
      <w:r>
        <w:t>El organizador podrá crear eventos nuevos o duplicar uno anterior para reutilizar promotores, guardias, categorías de entrada, horarios y configuraciones. Las próximas fechas podrán publicarse con el estado “Próximamente / Coming Soon” antes de habilitar la venta.</w:t>
      </w:r>
    </w:p>
    <w:p>
      <w:pPr>
        <w:pStyle w:val="ListBullet"/>
        <w:spacing w:after="80" w:line="259" w:lineRule="auto"/>
      </w:pPr>
      <w:r>
        <w:t>Nombre, imagen, fecha, lugar y horario del evento.</w:t>
      </w:r>
    </w:p>
    <w:p>
      <w:pPr>
        <w:pStyle w:val="ListBullet"/>
        <w:spacing w:after="80" w:line="259" w:lineRule="auto"/>
      </w:pPr>
      <w:r>
        <w:t>Fecha y hora de inicio y cierre de la experiencia social.</w:t>
      </w:r>
    </w:p>
    <w:p>
      <w:pPr>
        <w:pStyle w:val="ListBullet"/>
        <w:spacing w:after="80" w:line="259" w:lineRule="auto"/>
      </w:pPr>
      <w:r>
        <w:t>Tipos de entrada personalizados: General, VIP u otras categorías.</w:t>
      </w:r>
    </w:p>
    <w:p>
      <w:pPr>
        <w:pStyle w:val="ListBullet"/>
        <w:spacing w:after="80" w:line="259" w:lineRule="auto"/>
      </w:pPr>
      <w:r>
        <w:t>Precio, cupo limitado o ilimitado y horario máximo de ingreso por cada tipo.</w:t>
      </w:r>
    </w:p>
    <w:p>
      <w:pPr>
        <w:pStyle w:val="ListBullet"/>
        <w:spacing w:after="80" w:line="259" w:lineRule="auto"/>
      </w:pPr>
      <w:r>
        <w:t>Cantidad de corazones y supercorazones incluidos en cada categoría.</w:t>
      </w:r>
    </w:p>
    <w:p>
      <w:pPr>
        <w:pStyle w:val="ListBullet"/>
        <w:spacing w:after="80" w:line="259" w:lineRule="auto"/>
      </w:pPr>
      <w:r>
        <w:t>Asignación de promotores y guardias autorizados.</w:t>
      </w:r>
    </w:p>
    <w:p>
      <w:pPr>
        <w:pStyle w:val="ListBullet"/>
        <w:spacing w:after="80" w:line="259" w:lineRule="auto"/>
      </w:pPr>
      <w:r>
        <w:t>Notificaciones previas al vencimiento del horario de ingreso.</w:t>
      </w:r>
    </w:p>
    <w:p>
      <w:pPr>
        <w:spacing w:before="160" w:after="100"/>
        <w:keepNext/>
      </w:pPr>
      <w:r>
        <w:rPr>
          <w:rFonts w:ascii="Carlito" w:hAnsi="Carlito"/>
          <w:b/>
          <w:color w:val="17202A"/>
          <w:sz w:val="27"/>
        </w:rPr>
        <w:t>1.5 Venta asistida por promotores</w:t>
      </w:r>
    </w:p>
    <w:p>
      <w:pPr>
        <w:spacing w:after="140" w:line="269" w:lineRule="auto"/>
        <w:jc w:val="both"/>
      </w:pPr>
      <w:r>
        <w:t>Cada evento contará con un listado público de promotores y un botón directo a WhatsApp. El asistente podrá consultar a distintos promotores antes de comprar; la venta quedará asociada al primero que confirme correctamente el pago.</w:t>
      </w:r>
    </w:p>
    <w:p>
      <w:pPr>
        <w:spacing w:after="100" w:line="259" w:lineRule="auto"/>
      </w:pPr>
      <w:r>
        <w:rPr>
          <w:b/>
        </w:rPr>
        <w:t xml:space="preserve">1. </w:t>
      </w:r>
      <w:r>
        <w:t>El asistente crea su cuenta y selecciona el evento.</w:t>
      </w:r>
    </w:p>
    <w:p>
      <w:pPr>
        <w:spacing w:after="100" w:line="259" w:lineRule="auto"/>
      </w:pPr>
      <w:r>
        <w:rPr>
          <w:b/>
        </w:rPr>
        <w:t xml:space="preserve">2. </w:t>
      </w:r>
      <w:r>
        <w:t>La plataforma genera un código corto de solicitud.</w:t>
      </w:r>
    </w:p>
    <w:p>
      <w:pPr>
        <w:spacing w:after="100" w:line="259" w:lineRule="auto"/>
      </w:pPr>
      <w:r>
        <w:rPr>
          <w:b/>
        </w:rPr>
        <w:t xml:space="preserve">3. </w:t>
      </w:r>
      <w:r>
        <w:t>El asistente elige un promotor desde el listado y lo contacta por WhatsApp.</w:t>
      </w:r>
    </w:p>
    <w:p>
      <w:pPr>
        <w:spacing w:after="100" w:line="259" w:lineRule="auto"/>
      </w:pPr>
      <w:r>
        <w:rPr>
          <w:b/>
        </w:rPr>
        <w:t xml:space="preserve">4. </w:t>
      </w:r>
      <w:r>
        <w:t>Realiza el pago al alias indicado por el organizador y envía comprobante más código de solicitud.</w:t>
      </w:r>
    </w:p>
    <w:p>
      <w:pPr>
        <w:spacing w:after="100" w:line="259" w:lineRule="auto"/>
      </w:pPr>
      <w:r>
        <w:rPr>
          <w:b/>
        </w:rPr>
        <w:t xml:space="preserve">5. </w:t>
      </w:r>
      <w:r>
        <w:t>El promotor verifica el comprobante y carga el número de operación.</w:t>
      </w:r>
    </w:p>
    <w:p>
      <w:pPr>
        <w:spacing w:after="100" w:line="259" w:lineRule="auto"/>
      </w:pPr>
      <w:r>
        <w:rPr>
          <w:b/>
        </w:rPr>
        <w:t xml:space="preserve">6. </w:t>
      </w:r>
      <w:r>
        <w:t>El sistema valida que la operación no haya sido utilizada previamente.</w:t>
      </w:r>
    </w:p>
    <w:p>
      <w:pPr>
        <w:spacing w:after="100" w:line="259" w:lineRule="auto"/>
      </w:pPr>
      <w:r>
        <w:rPr>
          <w:b/>
        </w:rPr>
        <w:t xml:space="preserve">7. </w:t>
      </w:r>
      <w:r>
        <w:t>Al confirmar, se genera la entrada individual y la venta queda vinculada al promotor.</w:t>
      </w:r>
    </w:p>
    <w:tbl>
      <w:tblPr>
        <w:tblW w:type="auto" w:w="0"/>
        <w:jc w:val="center"/>
        <w:tblLayout w:type="fixed"/>
        <w:tblLook w:firstColumn="1" w:firstRow="1" w:lastColumn="0" w:lastRow="0" w:noHBand="0" w:noVBand="1" w:val="04A0"/>
      </w:tblPr>
      <w:tblGrid>
        <w:gridCol w:w="142"/>
        <w:gridCol w:w="9071"/>
      </w:tblGrid>
      <w:tr>
        <w:tc>
          <w:tcPr>
            <w:tcW w:type="dxa" w:w="142"/>
            <w:shd w:fill="4A98C9"/>
          </w:tcPr>
          <w:p/>
        </w:tc>
        <w:tc>
          <w:tcPr>
            <w:tcW w:type="dxa" w:w="9071"/>
            <w:shd w:fill="EAF4FA"/>
            <w:tcMar>
              <w:top w:w="130" w:type="dxa"/>
              <w:start w:w="150" w:type="dxa"/>
              <w:bottom w:w="130" w:type="dxa"/>
              <w:end w:w="150" w:type="dxa"/>
            </w:tcMar>
            <w:tcBorders>
              <w:top w:val="single" w:sz="6" w:color="4A98C9"/>
              <w:bottom w:val="single" w:sz="6" w:color="4A98C9"/>
              <w:right w:val="single" w:sz="6" w:color="4A98C9"/>
            </w:tcBorders>
          </w:tcPr>
          <w:p>
            <w:pPr>
              <w:spacing w:after="60"/>
            </w:pPr>
            <w:r>
              <w:rPr>
                <w:rFonts w:ascii="Carlito" w:hAnsi="Carlito"/>
                <w:b/>
                <w:color w:val="4A98C9"/>
                <w:sz w:val="21"/>
              </w:rPr>
              <w:t>CONTROL DEL ORGANIZADOR</w:t>
            </w:r>
          </w:p>
          <w:p>
            <w:pPr>
              <w:spacing w:after="0" w:line="259" w:lineRule="auto"/>
            </w:pPr>
            <w:r>
              <w:rPr>
                <w:rFonts w:ascii="Carlito" w:hAnsi="Carlito"/>
                <w:color w:val="17202A"/>
                <w:sz w:val="20"/>
              </w:rPr>
              <w:t>El precio de cada categoría es definido por el organizador y no puede ser modificado por el promotor. Cada promotor puede tener un cupo limitado o ilimitado, y visualiza únicamente la cantidad de entradas que vendió.</w:t>
            </w:r>
          </w:p>
        </w:tc>
      </w:tr>
    </w:tbl>
    <w:p>
      <w:pPr>
        <w:spacing w:after="0"/>
      </w:pPr>
    </w:p>
    <w:p>
      <w:pPr>
        <w:spacing w:before="160" w:after="100"/>
        <w:keepNext/>
      </w:pPr>
      <w:r>
        <w:rPr>
          <w:rFonts w:ascii="Carlito" w:hAnsi="Carlito"/>
          <w:b/>
          <w:color w:val="17202A"/>
          <w:sz w:val="27"/>
        </w:rPr>
        <w:t>1.6 Cuenta del asistente y sección “Mis entradas”</w:t>
      </w:r>
    </w:p>
    <w:p>
      <w:pPr>
        <w:pStyle w:val="ListBullet"/>
        <w:spacing w:after="80" w:line="259" w:lineRule="auto"/>
      </w:pPr>
      <w:r>
        <w:t>Una misma cuenta puede participar en varios eventos y conservar diferentes entradas activas.</w:t>
      </w:r>
    </w:p>
    <w:p>
      <w:pPr>
        <w:pStyle w:val="ListBullet"/>
        <w:spacing w:after="80" w:line="259" w:lineRule="auto"/>
      </w:pPr>
      <w:r>
        <w:t>Cada entrada muestra evento, categoría, estado, horario límite y cuenta regresiva social.</w:t>
      </w:r>
    </w:p>
    <w:p>
      <w:pPr>
        <w:pStyle w:val="ListBullet"/>
        <w:spacing w:after="80" w:line="259" w:lineRule="auto"/>
      </w:pPr>
      <w:r>
        <w:t>El QR se visualiza únicamente dentro de la plataforma web; no se ofrece como archivo descargable.</w:t>
      </w:r>
    </w:p>
    <w:p>
      <w:pPr>
        <w:pStyle w:val="ListBullet"/>
        <w:spacing w:after="80" w:line="259" w:lineRule="auto"/>
      </w:pPr>
      <w:r>
        <w:t>La entrada permanece separada de las demás fiestas: cada evento tiene su propio QR, corazones, matches y chat.</w:t>
      </w:r>
    </w:p>
    <w:p>
      <w:r>
        <w:br w:type="page"/>
      </w:r>
    </w:p>
    <w:p>
      <w:pPr>
        <w:spacing w:before="160" w:after="100"/>
        <w:keepNext/>
      </w:pPr>
      <w:r>
        <w:rPr>
          <w:rFonts w:ascii="Carlito" w:hAnsi="Carlito"/>
          <w:b/>
          <w:color w:val="17202A"/>
          <w:sz w:val="27"/>
        </w:rPr>
        <w:t>1.7 QR dinámico y control de acceso</w:t>
      </w:r>
    </w:p>
    <w:p>
      <w:pPr>
        <w:spacing w:after="140" w:line="269" w:lineRule="auto"/>
        <w:jc w:val="both"/>
      </w:pPr>
      <w:r>
        <w:t>Cada entrada será individual y estará vinculada a una persona, un evento y una categoría. El QR cambiará cada pocos segundos, de modo que una captura de pantalla pierda vigencia rápidamente. La seguridad no depende solamente de la imagen: la entrada se valida contra la plataforma y queda inutilizada después del ingreso.</w:t>
      </w:r>
    </w:p>
    <w:p>
      <w:pPr>
        <w:spacing w:after="100" w:line="259" w:lineRule="auto"/>
      </w:pPr>
      <w:r>
        <w:rPr>
          <w:b/>
        </w:rPr>
        <w:t xml:space="preserve">1. </w:t>
      </w:r>
      <w:r>
        <w:rPr>
          <w:b/>
        </w:rPr>
        <w:t xml:space="preserve">Escaneo. </w:t>
      </w:r>
      <w:r>
        <w:t>El guardia abre el modo de control y escanea el QR dinámico.</w:t>
      </w:r>
    </w:p>
    <w:p>
      <w:pPr>
        <w:spacing w:after="100" w:line="259" w:lineRule="auto"/>
      </w:pPr>
      <w:r>
        <w:rPr>
          <w:b/>
        </w:rPr>
        <w:t xml:space="preserve">2. </w:t>
      </w:r>
      <w:r>
        <w:rPr>
          <w:b/>
        </w:rPr>
        <w:t xml:space="preserve">Verificación. </w:t>
      </w:r>
      <w:r>
        <w:t>La pantalla muestra foto principal, nombre real, DNI y tipo de entrada.</w:t>
      </w:r>
    </w:p>
    <w:p>
      <w:pPr>
        <w:spacing w:after="100" w:line="259" w:lineRule="auto"/>
      </w:pPr>
      <w:r>
        <w:rPr>
          <w:b/>
        </w:rPr>
        <w:t xml:space="preserve">3. </w:t>
      </w:r>
      <w:r>
        <w:rPr>
          <w:b/>
        </w:rPr>
        <w:t xml:space="preserve">Comparación. </w:t>
      </w:r>
      <w:r>
        <w:t>El guardia compara la información con la persona presente y su DNI físico.</w:t>
      </w:r>
    </w:p>
    <w:p>
      <w:pPr>
        <w:spacing w:after="100" w:line="259" w:lineRule="auto"/>
      </w:pPr>
      <w:r>
        <w:rPr>
          <w:b/>
        </w:rPr>
        <w:t xml:space="preserve">4. </w:t>
      </w:r>
      <w:r>
        <w:rPr>
          <w:b/>
        </w:rPr>
        <w:t xml:space="preserve">Ingreso. </w:t>
      </w:r>
      <w:r>
        <w:t>Si todo coincide, presiona “Pasar” y la entrada queda utilizada.</w:t>
      </w:r>
    </w:p>
    <w:p>
      <w:pPr>
        <w:spacing w:after="100" w:line="259" w:lineRule="auto"/>
      </w:pPr>
      <w:r>
        <w:rPr>
          <w:b/>
        </w:rPr>
        <w:t xml:space="preserve">5. </w:t>
      </w:r>
      <w:r>
        <w:rPr>
          <w:b/>
        </w:rPr>
        <w:t xml:space="preserve">Rechazo automático. </w:t>
      </w:r>
      <w:r>
        <w:t>Un QR vencido, ya utilizado o perteneciente a otro evento no puede autorizarse.</w:t>
      </w:r>
    </w:p>
    <w:p>
      <w:pPr>
        <w:spacing w:before="160" w:after="100"/>
        <w:keepNext/>
      </w:pPr>
      <w:r>
        <w:rPr>
          <w:rFonts w:ascii="Carlito" w:hAnsi="Carlito"/>
          <w:b/>
          <w:color w:val="17202A"/>
          <w:sz w:val="27"/>
        </w:rPr>
        <w:t>1.8 Panel de seguimiento del organizador</w:t>
      </w:r>
    </w:p>
    <w:p>
      <w:pPr>
        <w:pStyle w:val="ListBullet"/>
        <w:spacing w:after="80" w:line="259" w:lineRule="auto"/>
      </w:pPr>
      <w:r>
        <w:t>Entradas emitidas por evento y por categoría.</w:t>
      </w:r>
    </w:p>
    <w:p>
      <w:pPr>
        <w:pStyle w:val="ListBullet"/>
        <w:spacing w:after="80" w:line="259" w:lineRule="auto"/>
      </w:pPr>
      <w:r>
        <w:t>Cantidad de asistentes ingresados y pendientes.</w:t>
      </w:r>
    </w:p>
    <w:p>
      <w:pPr>
        <w:pStyle w:val="ListBullet"/>
        <w:spacing w:after="80" w:line="259" w:lineRule="auto"/>
      </w:pPr>
      <w:r>
        <w:t>Cupo disponible por tipo de entrada.</w:t>
      </w:r>
    </w:p>
    <w:p>
      <w:pPr>
        <w:pStyle w:val="ListBullet"/>
        <w:spacing w:after="80" w:line="259" w:lineRule="auto"/>
      </w:pPr>
      <w:r>
        <w:t>Ventas asociadas a cada promotor.</w:t>
      </w:r>
    </w:p>
    <w:p>
      <w:pPr>
        <w:pStyle w:val="ListBullet"/>
        <w:spacing w:after="80" w:line="259" w:lineRule="auto"/>
      </w:pPr>
      <w:r>
        <w:t>Hora de cada ingreso confirmado.</w:t>
      </w:r>
    </w:p>
    <w:p>
      <w:pPr>
        <w:pStyle w:val="ListBullet"/>
        <w:spacing w:after="80" w:line="259" w:lineRule="auto"/>
      </w:pPr>
      <w:r>
        <w:t>Estado general de la experiencia social.</w:t>
      </w:r>
    </w:p>
    <w:p>
      <w:pPr>
        <w:pStyle w:val="ListBullet"/>
        <w:spacing w:after="80" w:line="259" w:lineRule="auto"/>
      </w:pPr>
      <w:r>
        <w:t>Resumen final utilizado para la liquidación del evento.</w:t>
      </w:r>
    </w:p>
    <w:p>
      <w:pPr>
        <w:spacing w:before="160" w:after="100"/>
        <w:keepNext/>
      </w:pPr>
      <w:r>
        <w:rPr>
          <w:rFonts w:ascii="Carlito" w:hAnsi="Carlito"/>
          <w:b/>
          <w:color w:val="17202A"/>
          <w:sz w:val="27"/>
        </w:rPr>
        <w:t>1.9 Perfil social del asistente</w:t>
      </w:r>
    </w:p>
    <w:p>
      <w:pPr>
        <w:spacing w:after="140" w:line="269" w:lineRule="auto"/>
        <w:jc w:val="both"/>
      </w:pPr>
      <w:r>
        <w:t>La experiencia social será exclusiva para mayores de 18 años con entrada confirmada y perfil mínimo completo. La identidad social se mantiene separada de la identidad utilizada para ingresar.</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Dato / función</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Regla funcional</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Identidad social</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Apodo fijo con posibilidad de cambio una vez cada 30 días.</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Edad e interés</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Edad visible y selección de búsqueda: hombres, mujeres o ambos.</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Fotos</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Una foto principal obligatoria y hasta cuatro adicionales opcionales.</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Cambios de fotos</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Renovación del conjunto completo una vez cada 7 días.</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Contenido excluido</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Sin biografía, Instagram ni redes sociales visibles.</w:t>
            </w:r>
          </w:p>
        </w:tc>
      </w:tr>
      <w:tr>
        <w:trPr>
          <w:cantSplit/>
        </w:trPr>
        <w:tc>
          <w:tcPr>
            <w:tcW w:type="dxa" w:w="255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Apertura social</w:t>
            </w:r>
          </w:p>
        </w:tc>
        <w:tc>
          <w:tcPr>
            <w:tcW w:type="dxa" w:w="680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El perfil queda congelado desde el momento en que se habilita la función social.</w:t>
            </w:r>
          </w:p>
        </w:tc>
      </w:tr>
    </w:tbl>
    <w:p>
      <w:r>
        <w:br w:type="page"/>
      </w:r>
    </w:p>
    <w:p>
      <w:pPr>
        <w:spacing w:before="160" w:after="100"/>
        <w:keepNext/>
      </w:pPr>
      <w:r>
        <w:rPr>
          <w:rFonts w:ascii="Carlito" w:hAnsi="Carlito"/>
          <w:b/>
          <w:color w:val="17202A"/>
          <w:sz w:val="27"/>
        </w:rPr>
        <w:t>1.10 Experiencia social efímera</w:t>
      </w:r>
    </w:p>
    <w:p>
      <w:pPr>
        <w:spacing w:after="140" w:line="269" w:lineRule="auto"/>
        <w:jc w:val="both"/>
      </w:pPr>
      <w:r>
        <w:t>La función social no estará abierta durante toda la venta. El organizador definirá el momento exacto de habilitación, por ejemplo unas horas antes de la fiesta. Hasta entonces, la plataforma mostrará una cuenta regresiva. Esta decisión evita que los primeros compradores encuentren una comunidad vacía.</w:t>
      </w:r>
    </w:p>
    <w:p>
      <w:pPr>
        <w:pStyle w:val="ListBullet"/>
        <w:spacing w:after="80" w:line="259" w:lineRule="auto"/>
      </w:pPr>
      <w:r>
        <w:t>Solo acceden asistentes con entrada confirmada y perfil completo.</w:t>
      </w:r>
    </w:p>
    <w:p>
      <w:pPr>
        <w:pStyle w:val="ListBullet"/>
        <w:spacing w:after="80" w:line="259" w:lineRule="auto"/>
      </w:pPr>
      <w:r>
        <w:t>Los perfiles se muestran únicamente según la preferencia declarada: hombres, mujeres o ambos.</w:t>
      </w:r>
    </w:p>
    <w:p>
      <w:pPr>
        <w:pStyle w:val="ListBullet"/>
        <w:spacing w:after="80" w:line="259" w:lineRule="auto"/>
      </w:pPr>
      <w:r>
        <w:t>Deslizar a la izquierda descarta un perfil; deslizar a la derecha envía un corazón.</w:t>
      </w:r>
    </w:p>
    <w:p>
      <w:pPr>
        <w:pStyle w:val="ListBullet"/>
        <w:spacing w:after="80" w:line="259" w:lineRule="auto"/>
      </w:pPr>
      <w:r>
        <w:t>Los corazones son secretos y solo se revelan cuando existe interés mutuo.</w:t>
      </w:r>
    </w:p>
    <w:p>
      <w:pPr>
        <w:pStyle w:val="ListBullet"/>
        <w:spacing w:after="80" w:line="259" w:lineRule="auto"/>
      </w:pPr>
      <w:r>
        <w:t>Cuando ambas personas se eligen, se produce el match y se habilita el chat.</w:t>
      </w:r>
    </w:p>
    <w:p>
      <w:pPr>
        <w:pStyle w:val="ListBullet"/>
        <w:spacing w:after="80" w:line="259" w:lineRule="auto"/>
      </w:pPr>
      <w:r>
        <w:t>La cantidad incluida depende del tipo de entrada; como referencia: 10 corazones para General y 20 para VIP.</w:t>
      </w:r>
    </w:p>
    <w:p>
      <w:pPr>
        <w:pStyle w:val="ListBullet"/>
        <w:spacing w:after="80" w:line="259" w:lineRule="auto"/>
      </w:pPr>
      <w:r>
        <w:t>Los corazones adicionales podrán acreditarse mediante el promotor asociado a la entrada.</w:t>
      </w:r>
    </w:p>
    <w:p>
      <w:pPr>
        <w:spacing w:before="160" w:after="100"/>
        <w:keepNext/>
      </w:pPr>
      <w:r>
        <w:rPr>
          <w:rFonts w:ascii="Carlito" w:hAnsi="Carlito"/>
          <w:b/>
          <w:color w:val="17202A"/>
          <w:sz w:val="27"/>
        </w:rPr>
        <w:t>1.11 Supercorazón para categorías superiores</w:t>
      </w:r>
    </w:p>
    <w:p>
      <w:pPr>
        <w:pStyle w:val="ListBullet"/>
        <w:spacing w:after="80" w:line="259" w:lineRule="auto"/>
      </w:pPr>
      <w:r>
        <w:t>La categoría VIP puede incluir, como referencia, dos supercorazones.</w:t>
      </w:r>
    </w:p>
    <w:p>
      <w:pPr>
        <w:pStyle w:val="ListBullet"/>
        <w:spacing w:after="80" w:line="259" w:lineRule="auto"/>
      </w:pPr>
      <w:r>
        <w:t>Solo puede enviarse un supercorazón a la misma persona dentro del evento.</w:t>
      </w:r>
    </w:p>
    <w:p>
      <w:pPr>
        <w:pStyle w:val="ListBullet"/>
        <w:spacing w:after="80" w:line="259" w:lineRule="auto"/>
      </w:pPr>
      <w:r>
        <w:t>El receptor ve quién lo envió y puede aceptarlo o rechazarlo.</w:t>
      </w:r>
    </w:p>
    <w:p>
      <w:pPr>
        <w:pStyle w:val="ListBullet"/>
        <w:spacing w:after="80" w:line="259" w:lineRule="auto"/>
      </w:pPr>
      <w:r>
        <w:t>Si lo acepta, se abre una conversación provisional.</w:t>
      </w:r>
    </w:p>
    <w:p>
      <w:pPr>
        <w:pStyle w:val="ListBullet"/>
        <w:spacing w:after="80" w:line="259" w:lineRule="auto"/>
      </w:pPr>
      <w:r>
        <w:t>El emisor puede enviar hasta tres mensajes antes de recibir una respuesta.</w:t>
      </w:r>
    </w:p>
    <w:p>
      <w:pPr>
        <w:pStyle w:val="ListBullet"/>
        <w:spacing w:after="80" w:line="259" w:lineRule="auto"/>
      </w:pPr>
      <w:r>
        <w:t>Cuando el receptor responde, el chat queda habilitado de forma normal.</w:t>
      </w:r>
    </w:p>
    <w:p>
      <w:pPr>
        <w:pStyle w:val="ListBullet"/>
        <w:spacing w:after="80" w:line="259" w:lineRule="auto"/>
      </w:pPr>
      <w:r>
        <w:t>Si lo rechaza, no se abre la conversación y el emisor no puede insistir.</w:t>
      </w:r>
    </w:p>
    <w:p>
      <w:pPr>
        <w:spacing w:before="160" w:after="100"/>
        <w:keepNext/>
      </w:pPr>
      <w:r>
        <w:rPr>
          <w:rFonts w:ascii="Carlito" w:hAnsi="Carlito"/>
          <w:b/>
          <w:color w:val="17202A"/>
          <w:sz w:val="27"/>
        </w:rPr>
        <w:t>1.12 Chat temporal</w:t>
      </w:r>
    </w:p>
    <w:p>
      <w:pPr>
        <w:pStyle w:val="ListBullet"/>
        <w:spacing w:after="80" w:line="259" w:lineRule="auto"/>
      </w:pPr>
      <w:r>
        <w:t>Solo permite texto y emojis.</w:t>
      </w:r>
    </w:p>
    <w:p>
      <w:pPr>
        <w:pStyle w:val="ListBullet"/>
        <w:spacing w:after="80" w:line="259" w:lineRule="auto"/>
      </w:pPr>
      <w:r>
        <w:t>No permite imágenes, audios, enlaces ni perfiles de redes sociales.</w:t>
      </w:r>
    </w:p>
    <w:p>
      <w:pPr>
        <w:pStyle w:val="ListBullet"/>
        <w:spacing w:after="80" w:line="259" w:lineRule="auto"/>
      </w:pPr>
      <w:r>
        <w:t>La ventana de chat cierra en el horario configurado por el organizador, por ejemplo a las 07:00.</w:t>
      </w:r>
    </w:p>
    <w:p>
      <w:pPr>
        <w:pStyle w:val="ListBullet"/>
        <w:spacing w:after="80" w:line="259" w:lineRule="auto"/>
      </w:pPr>
      <w:r>
        <w:t>La plataforma notifica antes del cierre, por ejemplo 1 hora, 30 minutos y 5 minutos antes.</w:t>
      </w:r>
    </w:p>
    <w:p>
      <w:pPr>
        <w:pStyle w:val="ListBullet"/>
        <w:spacing w:after="80" w:line="259" w:lineRule="auto"/>
      </w:pPr>
      <w:r>
        <w:t>Al finalizar, se eliminan likes, matches y conversaciones no reportadas.</w:t>
      </w:r>
    </w:p>
    <w:p>
      <w:pPr>
        <w:pStyle w:val="ListBullet"/>
        <w:spacing w:after="80" w:line="259" w:lineRule="auto"/>
      </w:pPr>
      <w:r>
        <w:t>Los matches no se conservan para futuras fiestas: cada evento comienza desde cero.</w:t>
      </w:r>
    </w:p>
    <w:tbl>
      <w:tblPr>
        <w:tblW w:type="auto" w:w="0"/>
        <w:jc w:val="center"/>
        <w:tblLayout w:type="fixed"/>
        <w:tblLook w:firstColumn="1" w:firstRow="1" w:lastColumn="0" w:lastRow="0" w:noHBand="0" w:noVBand="1" w:val="04A0"/>
      </w:tblPr>
      <w:tblGrid>
        <w:gridCol w:w="142"/>
        <w:gridCol w:w="9071"/>
      </w:tblGrid>
      <w:tr>
        <w:tc>
          <w:tcPr>
            <w:tcW w:type="dxa" w:w="142"/>
            <w:shd w:fill="6BAA68"/>
          </w:tcPr>
          <w:p/>
        </w:tc>
        <w:tc>
          <w:tcPr>
            <w:tcW w:type="dxa" w:w="9071"/>
            <w:shd w:fill="EDF6EC"/>
            <w:tcMar>
              <w:top w:w="130" w:type="dxa"/>
              <w:start w:w="150" w:type="dxa"/>
              <w:bottom w:w="130" w:type="dxa"/>
              <w:end w:w="150" w:type="dxa"/>
            </w:tcMar>
            <w:tcBorders>
              <w:top w:val="single" w:sz="6" w:color="6BAA68"/>
              <w:bottom w:val="single" w:sz="6" w:color="6BAA68"/>
              <w:right w:val="single" w:sz="6" w:color="6BAA68"/>
            </w:tcBorders>
          </w:tcPr>
          <w:p>
            <w:pPr>
              <w:spacing w:after="60"/>
            </w:pPr>
            <w:r>
              <w:rPr>
                <w:rFonts w:ascii="Carlito" w:hAnsi="Carlito"/>
                <w:b/>
                <w:color w:val="6BAA68"/>
                <w:sz w:val="21"/>
              </w:rPr>
              <w:t>VALOR DIFERENCIAL</w:t>
            </w:r>
          </w:p>
          <w:p>
            <w:pPr>
              <w:spacing w:after="0" w:line="259" w:lineRule="auto"/>
            </w:pPr>
            <w:r>
              <w:rPr>
                <w:rFonts w:ascii="Carlito" w:hAnsi="Carlito"/>
                <w:color w:val="17202A"/>
                <w:sz w:val="20"/>
              </w:rPr>
              <w:t>La plataforma concentra a personas que ya compraron, están verificadas y asistirán al mismo lugar. No funciona como una red social abierta: la interacción tiene contexto, fecha de inicio, fecha de cierre y una finalidad concreta vinculada al evento.</w:t>
            </w:r>
          </w:p>
        </w:tc>
      </w:tr>
    </w:tbl>
    <w:p>
      <w:pPr>
        <w:spacing w:after="0"/>
      </w:pPr>
    </w:p>
    <w:p>
      <w:r>
        <w:br w:type="page"/>
      </w:r>
    </w:p>
    <w:p>
      <w:pPr>
        <w:spacing w:before="160" w:after="100"/>
        <w:keepNext/>
      </w:pPr>
      <w:r>
        <w:rPr>
          <w:rFonts w:ascii="Carlito" w:hAnsi="Carlito"/>
          <w:b/>
          <w:color w:val="17202A"/>
          <w:sz w:val="27"/>
        </w:rPr>
        <w:t>1.13 Seguridad, bloqueo y reportes</w:t>
      </w:r>
    </w:p>
    <w:p>
      <w:pPr>
        <w:pStyle w:val="ListBullet"/>
        <w:spacing w:after="80" w:line="259" w:lineRule="auto"/>
      </w:pPr>
      <w:r>
        <w:t>Cualquier asistente puede bloquear o reportar a otro usuario.</w:t>
      </w:r>
    </w:p>
    <w:p>
      <w:pPr>
        <w:pStyle w:val="ListBullet"/>
        <w:spacing w:after="80" w:line="259" w:lineRule="auto"/>
      </w:pPr>
      <w:r>
        <w:t>El bloqueo impide nuevas interacciones entre ambas personas durante el evento.</w:t>
      </w:r>
    </w:p>
    <w:p>
      <w:pPr>
        <w:pStyle w:val="ListBullet"/>
        <w:spacing w:after="80" w:line="259" w:lineRule="auto"/>
      </w:pPr>
      <w:r>
        <w:t>El reporte incluye el mensaje señalado y un contexto limitado de la conversación.</w:t>
      </w:r>
    </w:p>
    <w:p>
      <w:pPr>
        <w:pStyle w:val="ListBullet"/>
        <w:spacing w:after="80" w:line="259" w:lineRule="auto"/>
      </w:pPr>
      <w:r>
        <w:t>Las sanciones se aplican manualmente, luego de la revisión correspondiente.</w:t>
      </w:r>
    </w:p>
    <w:p>
      <w:pPr>
        <w:pStyle w:val="ListBullet"/>
        <w:spacing w:after="80" w:line="259" w:lineRule="auto"/>
      </w:pPr>
      <w:r>
        <w:t>El organizador puede sancionar a un usuario dentro de su evento.</w:t>
      </w:r>
    </w:p>
    <w:p>
      <w:pPr>
        <w:pStyle w:val="ListBullet"/>
        <w:spacing w:after="80" w:line="259" w:lineRule="auto"/>
      </w:pPr>
      <w:r>
        <w:t>GestionAR Business puede aplicar una sanción global para toda la plataforma.</w:t>
      </w:r>
    </w:p>
    <w:p>
      <w:pPr>
        <w:pStyle w:val="ListBullet"/>
        <w:spacing w:after="80" w:line="259" w:lineRule="auto"/>
      </w:pPr>
      <w:r>
        <w:t>El organizador puede eliminar fotografías inapropiadas y registrar el motivo de la acción.</w:t>
      </w:r>
    </w:p>
    <w:p>
      <w:pPr>
        <w:pStyle w:val="ListBullet"/>
        <w:spacing w:after="80" w:line="259" w:lineRule="auto"/>
      </w:pPr>
      <w:r>
        <w:t>La eliminación social de un perfil no modifica automáticamente una entrada paga; ambas decisiones se administran por separado.</w:t>
      </w:r>
    </w:p>
    <w:p>
      <w:pPr>
        <w:spacing w:before="160" w:after="100"/>
        <w:keepNext/>
      </w:pPr>
      <w:r>
        <w:rPr>
          <w:rFonts w:ascii="Carlito" w:hAnsi="Carlito"/>
          <w:b/>
          <w:color w:val="17202A"/>
          <w:sz w:val="27"/>
        </w:rPr>
        <w:t>1.14 Resumen de beneficios para el organizador</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Necesidad</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Respuesta de la plataforma</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Ordenar la venta</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Promotores identificados, operaciones registradas y ventas asociadas.</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Reducir fraude</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QR individual, dinámico y de un solo uso, con validación de identidad.</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Conocer el evento en tiempo real</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Panel de entradas, cupos, promotores e ingresos.</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Diferenciar la propuesta</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Experiencia social exclusiva que comienza antes de la fiesta.</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Incentivar compra anticipada</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El acceso social se habilita únicamente después de obtener la entrada.</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Repetir el modelo</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Eventos duplicables y configurables para nuevas fechas.</w:t>
            </w:r>
          </w:p>
        </w:tc>
      </w:tr>
      <w:tr>
        <w:trPr>
          <w:cantSplit/>
        </w:trPr>
        <w:tc>
          <w:tcPr>
            <w:tcW w:type="dxa" w:w="289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Evitar inversión tecnológica inicial</w:t>
            </w:r>
          </w:p>
        </w:tc>
        <w:tc>
          <w:tcPr>
            <w:tcW w:type="dxa" w:w="6463"/>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GestionAR Business absorbe el desarrollo de la plataforma.</w:t>
            </w:r>
          </w:p>
        </w:tc>
      </w:tr>
    </w:tbl>
    <w:tbl>
      <w:tblPr>
        <w:tblW w:type="auto" w:w="0"/>
        <w:jc w:val="center"/>
        <w:tblLayout w:type="fixed"/>
        <w:tblLook w:firstColumn="1" w:firstRow="1" w:lastColumn="0" w:lastRow="0" w:noHBand="0" w:noVBand="1" w:val="04A0"/>
      </w:tblPr>
      <w:tblGrid>
        <w:gridCol w:w="142"/>
        <w:gridCol w:w="9071"/>
      </w:tblGrid>
      <w:tr>
        <w:tc>
          <w:tcPr>
            <w:tcW w:type="dxa" w:w="142"/>
            <w:shd w:fill="4A98C9"/>
          </w:tcPr>
          <w:p/>
        </w:tc>
        <w:tc>
          <w:tcPr>
            <w:tcW w:type="dxa" w:w="9071"/>
            <w:shd w:fill="EAF4FA"/>
            <w:tcMar>
              <w:top w:w="130" w:type="dxa"/>
              <w:start w:w="150" w:type="dxa"/>
              <w:bottom w:w="130" w:type="dxa"/>
              <w:end w:w="150" w:type="dxa"/>
            </w:tcMar>
            <w:tcBorders>
              <w:top w:val="single" w:sz="6" w:color="4A98C9"/>
              <w:bottom w:val="single" w:sz="6" w:color="4A98C9"/>
              <w:right w:val="single" w:sz="6" w:color="4A98C9"/>
            </w:tcBorders>
          </w:tcPr>
          <w:p>
            <w:pPr>
              <w:spacing w:after="60"/>
            </w:pPr>
            <w:r>
              <w:rPr>
                <w:rFonts w:ascii="Carlito" w:hAnsi="Carlito"/>
                <w:b/>
                <w:color w:val="4A98C9"/>
                <w:sz w:val="21"/>
              </w:rPr>
              <w:t>RESULTADO ESPERADO</w:t>
            </w:r>
          </w:p>
          <w:p>
            <w:pPr>
              <w:spacing w:after="0" w:line="259" w:lineRule="auto"/>
            </w:pPr>
            <w:r>
              <w:rPr>
                <w:rFonts w:ascii="Carlito" w:hAnsi="Carlito"/>
                <w:color w:val="17202A"/>
                <w:sz w:val="20"/>
              </w:rPr>
              <w:t>El organizador obtiene una herramienta de gestión y control, mientras el público recibe una razón adicional para comprar antes y participar activamente en la propuesta del evento.</w:t>
            </w:r>
          </w:p>
        </w:tc>
      </w:tr>
    </w:tbl>
    <w:p>
      <w:pPr>
        <w:spacing w:after="0"/>
      </w:pPr>
    </w:p>
    <w:p>
      <w:r>
        <w:br w:type="page"/>
      </w:r>
    </w:p>
    <w:p>
      <w:pPr>
        <w:spacing w:before="40" w:after="160"/>
        <w:keepNext/>
        <w:pBdr>
          <w:bottom w:val="single" w:sz="14" w:space="5" w:color="4A98C9"/>
        </w:pBdr>
      </w:pPr>
      <w:r>
        <w:rPr>
          <w:rFonts w:ascii="Carlito" w:hAnsi="Carlito"/>
          <w:b/>
          <w:color w:val="4A98C9"/>
          <w:sz w:val="40"/>
        </w:rPr>
        <w:t>2. Valor de uso</w:t>
      </w:r>
    </w:p>
    <w:p>
      <w:pPr>
        <w:spacing w:after="240"/>
      </w:pPr>
      <w:r>
        <w:rPr>
          <w:rFonts w:ascii="Carlito" w:hAnsi="Carlito"/>
          <w:color w:val="4E5D6C"/>
          <w:sz w:val="21"/>
        </w:rPr>
        <w:t>Un modelo alineado con el funcionamiento real del evento: sin costo de desarrollo ni inversión inicial para el organizador.</w:t>
      </w:r>
    </w:p>
    <w:tbl>
      <w:tblPr>
        <w:tblW w:type="auto" w:w="0"/>
        <w:jc w:val="center"/>
        <w:tblLayout w:type="fixed"/>
        <w:tblLook w:firstColumn="1" w:firstRow="1" w:lastColumn="0" w:lastRow="0" w:noHBand="0" w:noVBand="1" w:val="04A0"/>
      </w:tblPr>
      <w:tblGrid>
        <w:gridCol w:w="142"/>
        <w:gridCol w:w="9071"/>
      </w:tblGrid>
      <w:tr>
        <w:tc>
          <w:tcPr>
            <w:tcW w:type="dxa" w:w="142"/>
            <w:shd w:fill="6BAA68"/>
          </w:tcPr>
          <w:p/>
        </w:tc>
        <w:tc>
          <w:tcPr>
            <w:tcW w:type="dxa" w:w="9071"/>
            <w:shd w:fill="EDF6EC"/>
            <w:tcMar>
              <w:top w:w="130" w:type="dxa"/>
              <w:start w:w="150" w:type="dxa"/>
              <w:bottom w:w="130" w:type="dxa"/>
              <w:end w:w="150" w:type="dxa"/>
            </w:tcMar>
            <w:tcBorders>
              <w:top w:val="single" w:sz="6" w:color="6BAA68"/>
              <w:bottom w:val="single" w:sz="6" w:color="6BAA68"/>
              <w:right w:val="single" w:sz="6" w:color="6BAA68"/>
            </w:tcBorders>
          </w:tcPr>
          <w:p>
            <w:pPr>
              <w:spacing w:after="60"/>
            </w:pPr>
            <w:r>
              <w:rPr>
                <w:rFonts w:ascii="Carlito" w:hAnsi="Carlito"/>
                <w:b/>
                <w:color w:val="6BAA68"/>
                <w:sz w:val="21"/>
              </w:rPr>
              <w:t>DESARROLLO ABSORBIDO POR GESTIONAR BUSINESS</w:t>
            </w:r>
          </w:p>
          <w:p>
            <w:pPr>
              <w:spacing w:after="0" w:line="259" w:lineRule="auto"/>
            </w:pPr>
            <w:r>
              <w:rPr>
                <w:rFonts w:ascii="Carlito" w:hAnsi="Carlito"/>
                <w:color w:val="17202A"/>
                <w:sz w:val="20"/>
              </w:rPr>
              <w:t>GestionAR Business asume íntegramente el diseño, desarrollo y evolución general de la plataforma. El organizador no abona la construcción del sistema, la programación inicial ni una licencia de adquisición. El único cargo corresponde al uso efectivo de la plataforma en sus eventos.</w:t>
            </w:r>
          </w:p>
        </w:tc>
      </w:tr>
    </w:tbl>
    <w:p>
      <w:pPr>
        <w:spacing w:after="0"/>
      </w:pPr>
    </w:p>
    <w:p>
      <w:pPr>
        <w:spacing w:before="160" w:after="100"/>
        <w:keepNext/>
      </w:pPr>
      <w:r>
        <w:rPr>
          <w:rFonts w:ascii="Carlito" w:hAnsi="Carlito"/>
          <w:b/>
          <w:color w:val="17202A"/>
          <w:sz w:val="27"/>
        </w:rPr>
        <w:t>2.1 Esquema comercial</w:t>
      </w:r>
    </w:p>
    <w:tbl>
      <w:tblPr>
        <w:tblW w:type="auto" w:w="0"/>
        <w:jc w:val="center"/>
        <w:tblLayout w:type="fixed"/>
        <w:tblLook w:firstColumn="1" w:firstRow="1" w:lastColumn="0" w:lastRow="0" w:noHBand="0" w:noVBand="1" w:val="04A0"/>
      </w:tblPr>
      <w:tblGrid>
        <w:gridCol w:w="4933"/>
        <w:gridCol w:w="4933"/>
      </w:tblGrid>
      <w:tr>
        <w:trPr>
          <w:cantSplit/>
          <w:tblHeader w:val="true"/>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9"/>
              </w:rPr>
              <w:t>Concepto</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9"/>
              </w:rPr>
              <w:t>Condición</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Costo de desarrollo</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$0 para el organizador.</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Implementación inicial</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Sin cargo de construcción de la plataforma.</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Abono mensual fijo</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No se aplica.</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Valor de uso</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5% sobre el valor nominal total de los QR emitidos y habilitados para asistentes.</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Momento de liquidación</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9"/>
              </w:rPr>
              <w:t>Al finalizar cada evento.</w:t>
            </w:r>
          </w:p>
        </w:tc>
      </w:tr>
      <w:tr>
        <w:trPr>
          <w:cantSplit/>
        </w:trPr>
        <w:tc>
          <w:tcPr>
            <w:tcW w:type="dxa" w:w="300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Forma de absorción del 5%</w:t>
            </w:r>
          </w:p>
        </w:tc>
        <w:tc>
          <w:tcPr>
            <w:tcW w:type="dxa" w:w="6350"/>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9"/>
              </w:rPr>
              <w:t>La define el organizador: puede asumirlo o incorporarlo al precio final de la entrada.</w:t>
            </w:r>
          </w:p>
        </w:tc>
      </w:tr>
    </w:tbl>
    <w:p>
      <w:pPr>
        <w:spacing w:before="160" w:after="100"/>
        <w:keepNext/>
      </w:pPr>
      <w:r>
        <w:rPr>
          <w:rFonts w:ascii="Carlito" w:hAnsi="Carlito"/>
          <w:b/>
          <w:color w:val="17202A"/>
          <w:sz w:val="27"/>
        </w:rPr>
        <w:t>2.2 Base de cálculo</w:t>
      </w:r>
    </w:p>
    <w:p>
      <w:pPr>
        <w:spacing w:after="140" w:line="269" w:lineRule="auto"/>
        <w:jc w:val="both"/>
      </w:pPr>
      <w:r>
        <w:t>La comisión de GestionAR Business se calcula sobre el valor nominal de cada entrada individual emitida y habilitada. Como cada evento puede tener distintas categorías, el sistema toma el precio configurado para cada tipo de entrada y suma el valor total representado por todos los QR.</w:t>
      </w:r>
    </w:p>
    <w:tbl>
      <w:tblPr>
        <w:tblW w:type="auto" w:w="0"/>
        <w:jc w:val="center"/>
        <w:tblLayout w:type="fixed"/>
        <w:tblLook w:firstColumn="1" w:firstRow="1" w:lastColumn="0" w:lastRow="0" w:noHBand="0" w:noVBand="1" w:val="04A0"/>
      </w:tblPr>
      <w:tblGrid>
        <w:gridCol w:w="142"/>
        <w:gridCol w:w="9071"/>
      </w:tblGrid>
      <w:tr>
        <w:tc>
          <w:tcPr>
            <w:tcW w:type="dxa" w:w="142"/>
            <w:shd w:fill="4A98C9"/>
          </w:tcPr>
          <w:p/>
        </w:tc>
        <w:tc>
          <w:tcPr>
            <w:tcW w:type="dxa" w:w="9071"/>
            <w:shd w:fill="EAF4FA"/>
            <w:tcMar>
              <w:top w:w="130" w:type="dxa"/>
              <w:start w:w="150" w:type="dxa"/>
              <w:bottom w:w="130" w:type="dxa"/>
              <w:end w:w="150" w:type="dxa"/>
            </w:tcMar>
            <w:tcBorders>
              <w:top w:val="single" w:sz="6" w:color="4A98C9"/>
              <w:bottom w:val="single" w:sz="6" w:color="4A98C9"/>
              <w:right w:val="single" w:sz="6" w:color="4A98C9"/>
            </w:tcBorders>
          </w:tcPr>
          <w:p>
            <w:pPr>
              <w:spacing w:after="60"/>
            </w:pPr>
            <w:r>
              <w:rPr>
                <w:rFonts w:ascii="Carlito" w:hAnsi="Carlito"/>
                <w:b/>
                <w:color w:val="4A98C9"/>
                <w:sz w:val="21"/>
              </w:rPr>
              <w:t>CRITERIO PARA CORTESÍAS</w:t>
            </w:r>
          </w:p>
          <w:p>
            <w:pPr>
              <w:spacing w:after="0" w:line="259" w:lineRule="auto"/>
            </w:pPr>
            <w:r>
              <w:rPr>
                <w:rFonts w:ascii="Carlito" w:hAnsi="Carlito"/>
                <w:color w:val="17202A"/>
                <w:sz w:val="20"/>
              </w:rPr>
              <w:t>Todo QR emitido para un asistente se computa al valor nominal de la categoría asignada, incluso cuando el organizador decida bonificarlo, regalarlo o entregarlo como cortesía. Esa decisión comercial pertenece al organizador y no modifica el valor de uso de la plataforma.</w:t>
            </w:r>
          </w:p>
        </w:tc>
      </w:tr>
    </w:tbl>
    <w:p>
      <w:pPr>
        <w:spacing w:after="0"/>
      </w:pPr>
    </w:p>
    <w:p>
      <w:pPr>
        <w:spacing w:after="140" w:line="269" w:lineRule="auto"/>
        <w:jc w:val="both"/>
      </w:pPr>
      <w:r>
        <w:t>La regeneración técnica o actualización dinámica del mismo QR no se considera una nueva entrada y no genera un segundo cargo. Se contabiliza una sola vez cada entrada individual emitida.</w:t>
      </w:r>
    </w:p>
    <w:p>
      <w:pPr>
        <w:spacing w:before="160" w:after="100"/>
        <w:keepNext/>
      </w:pPr>
      <w:r>
        <w:rPr>
          <w:rFonts w:ascii="Carlito" w:hAnsi="Carlito"/>
          <w:b/>
          <w:color w:val="17202A"/>
          <w:sz w:val="27"/>
        </w:rPr>
        <w:t>2.3 Ejemplo de liquidación</w:t>
      </w:r>
    </w:p>
    <w:tbl>
      <w:tblPr>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Categoría</w:t>
            </w:r>
          </w:p>
        </w:tc>
        <w:tc>
          <w:tcPr>
            <w:tcW w:type="dxa" w:w="198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QR emitidos</w:t>
            </w:r>
          </w:p>
        </w:tc>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Precio nominal</w:t>
            </w:r>
          </w:p>
        </w:tc>
        <w:tc>
          <w:tcPr>
            <w:tcW w:type="dxa" w:w="283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18"/>
              </w:rPr>
              <w:t>Valor total</w:t>
            </w:r>
          </w:p>
        </w:tc>
      </w:tr>
      <w:tr>
        <w:trPr>
          <w:cantSplit/>
        </w:trPr>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General</w:t>
            </w:r>
          </w:p>
        </w:tc>
        <w:tc>
          <w:tcPr>
            <w:tcW w:type="dxa" w:w="198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400</w:t>
            </w:r>
          </w:p>
        </w:tc>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$10.000</w:t>
            </w:r>
          </w:p>
        </w:tc>
        <w:tc>
          <w:tcPr>
            <w:tcW w:type="dxa" w:w="283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$4.000.000</w:t>
            </w:r>
          </w:p>
        </w:tc>
      </w:tr>
      <w:tr>
        <w:trPr>
          <w:cantSplit/>
        </w:trPr>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VIP</w:t>
            </w:r>
          </w:p>
        </w:tc>
        <w:tc>
          <w:tcPr>
            <w:tcW w:type="dxa" w:w="198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100</w:t>
            </w:r>
          </w:p>
        </w:tc>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$20.000</w:t>
            </w:r>
          </w:p>
        </w:tc>
        <w:tc>
          <w:tcPr>
            <w:tcW w:type="dxa" w:w="283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F3F5F7"/>
          </w:tcPr>
          <w:p>
            <w:pPr>
              <w:spacing w:after="0" w:line="247" w:lineRule="auto"/>
            </w:pPr>
            <w:r>
              <w:rPr>
                <w:rFonts w:ascii="Carlito" w:hAnsi="Carlito"/>
                <w:color w:val="17202A"/>
                <w:sz w:val="18"/>
              </w:rPr>
              <w:t>$2.000.000</w:t>
            </w:r>
          </w:p>
        </w:tc>
      </w:tr>
      <w:tr>
        <w:trPr>
          <w:cantSplit/>
        </w:trPr>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Total</w:t>
            </w:r>
          </w:p>
        </w:tc>
        <w:tc>
          <w:tcPr>
            <w:tcW w:type="dxa" w:w="198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500</w:t>
            </w:r>
          </w:p>
        </w:tc>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w:t>
            </w:r>
          </w:p>
        </w:tc>
        <w:tc>
          <w:tcPr>
            <w:tcW w:type="dxa" w:w="283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tcPr>
          <w:p>
            <w:pPr>
              <w:spacing w:after="0" w:line="247" w:lineRule="auto"/>
            </w:pPr>
            <w:r>
              <w:rPr>
                <w:rFonts w:ascii="Carlito" w:hAnsi="Carlito"/>
                <w:color w:val="17202A"/>
                <w:sz w:val="18"/>
              </w:rPr>
              <w:t>$6.000.000</w:t>
            </w:r>
          </w:p>
        </w:tc>
      </w:tr>
      <w:tr>
        <w:trPr>
          <w:cantSplit/>
        </w:trPr>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pPr>
            <w:r>
              <w:rPr>
                <w:rFonts w:ascii="Carlito" w:hAnsi="Carlito"/>
                <w:b/>
                <w:color w:val="17202A"/>
                <w:sz w:val="18"/>
              </w:rPr>
              <w:t>Valor de uso GestionAR Business</w:t>
            </w:r>
          </w:p>
        </w:tc>
        <w:tc>
          <w:tcPr>
            <w:tcW w:type="dxa" w:w="1984"/>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pPr>
            <w:r>
              <w:rPr>
                <w:rFonts w:ascii="Carlito" w:hAnsi="Carlito"/>
                <w:b/>
                <w:color w:val="17202A"/>
                <w:sz w:val="18"/>
              </w:rPr>
              <w:t>—</w:t>
            </w:r>
          </w:p>
        </w:tc>
        <w:tc>
          <w:tcPr>
            <w:tcW w:type="dxa" w:w="2268"/>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pPr>
            <w:r>
              <w:rPr>
                <w:rFonts w:ascii="Carlito" w:hAnsi="Carlito"/>
                <w:b/>
                <w:color w:val="17202A"/>
                <w:sz w:val="18"/>
              </w:rPr>
              <w:t>5%</w:t>
            </w:r>
          </w:p>
        </w:tc>
        <w:tc>
          <w:tcPr>
            <w:tcW w:type="dxa" w:w="2835"/>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pPr>
            <w:r>
              <w:rPr>
                <w:rFonts w:ascii="Carlito" w:hAnsi="Carlito"/>
                <w:b/>
                <w:color w:val="17202A"/>
                <w:sz w:val="18"/>
              </w:rPr>
              <w:t>$300.000</w:t>
            </w:r>
          </w:p>
        </w:tc>
      </w:tr>
    </w:tbl>
    <w:p>
      <w:r>
        <w:br w:type="page"/>
      </w:r>
    </w:p>
    <w:p>
      <w:pPr>
        <w:spacing w:before="160" w:after="100"/>
        <w:keepNext/>
      </w:pPr>
      <w:r>
        <w:rPr>
          <w:rFonts w:ascii="Carlito" w:hAnsi="Carlito"/>
          <w:b/>
          <w:color w:val="17202A"/>
          <w:sz w:val="27"/>
        </w:rPr>
        <w:t>2.4 Proceso de cierre y liquidación</w:t>
      </w:r>
    </w:p>
    <w:p>
      <w:pPr>
        <w:spacing w:after="100" w:line="259" w:lineRule="auto"/>
      </w:pPr>
      <w:r>
        <w:rPr>
          <w:b/>
        </w:rPr>
        <w:t xml:space="preserve">1. </w:t>
      </w:r>
      <w:r>
        <w:t>Finalizado el evento, la plataforma consolida todas las entradas individuales emitidas.</w:t>
      </w:r>
    </w:p>
    <w:p>
      <w:pPr>
        <w:spacing w:after="100" w:line="259" w:lineRule="auto"/>
      </w:pPr>
      <w:r>
        <w:rPr>
          <w:b/>
        </w:rPr>
        <w:t xml:space="preserve">2. </w:t>
      </w:r>
      <w:r>
        <w:t>El resumen se agrupa por categoría, precio y cantidad de QR.</w:t>
      </w:r>
    </w:p>
    <w:p>
      <w:pPr>
        <w:spacing w:after="100" w:line="259" w:lineRule="auto"/>
      </w:pPr>
      <w:r>
        <w:rPr>
          <w:b/>
        </w:rPr>
        <w:t xml:space="preserve">3. </w:t>
      </w:r>
      <w:r>
        <w:t>Se obtiene el valor nominal total representado por las entradas.</w:t>
      </w:r>
    </w:p>
    <w:p>
      <w:pPr>
        <w:spacing w:after="100" w:line="259" w:lineRule="auto"/>
      </w:pPr>
      <w:r>
        <w:rPr>
          <w:b/>
        </w:rPr>
        <w:t xml:space="preserve">4. </w:t>
      </w:r>
      <w:r>
        <w:t>Sobre ese monto se aplica el 5% correspondiente al uso de la plataforma.</w:t>
      </w:r>
    </w:p>
    <w:p>
      <w:pPr>
        <w:spacing w:after="100" w:line="259" w:lineRule="auto"/>
      </w:pPr>
      <w:r>
        <w:rPr>
          <w:b/>
        </w:rPr>
        <w:t xml:space="preserve">5. </w:t>
      </w:r>
      <w:r>
        <w:t>GestionAR Business presenta al organizador un detalle verificable para realizar la liquidación acordada.</w:t>
      </w:r>
    </w:p>
    <w:p>
      <w:pPr>
        <w:spacing w:before="160" w:after="100"/>
        <w:keepNext/>
      </w:pPr>
      <w:r>
        <w:rPr>
          <w:rFonts w:ascii="Carlito" w:hAnsi="Carlito"/>
          <w:b/>
          <w:color w:val="17202A"/>
          <w:sz w:val="27"/>
        </w:rPr>
        <w:t>2.5 ¿Qué incluye el valor de uso?</w:t>
      </w:r>
    </w:p>
    <w:p>
      <w:pPr>
        <w:pStyle w:val="ListBullet"/>
        <w:spacing w:after="80" w:line="259" w:lineRule="auto"/>
      </w:pPr>
      <w:r>
        <w:t>Acceso a la plataforma web para el organizador y su equipo.</w:t>
      </w:r>
    </w:p>
    <w:p>
      <w:pPr>
        <w:pStyle w:val="ListBullet"/>
        <w:spacing w:after="80" w:line="259" w:lineRule="auto"/>
      </w:pPr>
      <w:r>
        <w:t>Creación y duplicación de eventos.</w:t>
      </w:r>
    </w:p>
    <w:p>
      <w:pPr>
        <w:pStyle w:val="ListBullet"/>
        <w:spacing w:after="80" w:line="259" w:lineRule="auto"/>
      </w:pPr>
      <w:r>
        <w:t>Administración de tipos de entrada, cupos, promotores y guardias.</w:t>
      </w:r>
    </w:p>
    <w:p>
      <w:pPr>
        <w:pStyle w:val="ListBullet"/>
        <w:spacing w:after="80" w:line="259" w:lineRule="auto"/>
      </w:pPr>
      <w:r>
        <w:t>Emisión de entradas individuales y QR dinámicos.</w:t>
      </w:r>
    </w:p>
    <w:p>
      <w:pPr>
        <w:pStyle w:val="ListBullet"/>
        <w:spacing w:after="80" w:line="259" w:lineRule="auto"/>
      </w:pPr>
      <w:r>
        <w:t>Control de acceso y métricas en tiempo real.</w:t>
      </w:r>
    </w:p>
    <w:p>
      <w:pPr>
        <w:pStyle w:val="ListBullet"/>
        <w:spacing w:after="80" w:line="259" w:lineRule="auto"/>
      </w:pPr>
      <w:r>
        <w:t>Experiencia social efímera con corazones, matches, chat y supercorazones.</w:t>
      </w:r>
    </w:p>
    <w:p>
      <w:pPr>
        <w:pStyle w:val="ListBullet"/>
        <w:spacing w:after="80" w:line="259" w:lineRule="auto"/>
      </w:pPr>
      <w:r>
        <w:t>Herramientas de bloqueo, reporte y moderación.</w:t>
      </w:r>
    </w:p>
    <w:p>
      <w:pPr>
        <w:pStyle w:val="ListBullet"/>
        <w:spacing w:after="80" w:line="259" w:lineRule="auto"/>
      </w:pPr>
      <w:r>
        <w:t>Evolución general y mantenimiento funcional de la plataforma.</w:t>
      </w:r>
    </w:p>
    <w:p>
      <w:pPr>
        <w:spacing w:before="160" w:after="100"/>
        <w:keepNext/>
      </w:pPr>
      <w:r>
        <w:rPr>
          <w:rFonts w:ascii="Carlito" w:hAnsi="Carlito"/>
          <w:b/>
          <w:color w:val="17202A"/>
          <w:sz w:val="27"/>
        </w:rPr>
        <w:t>2.6 Síntesis del acuerdo de uso</w:t>
      </w:r>
    </w:p>
    <w:tbl>
      <w:tblPr>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306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20"/>
              </w:rPr>
              <w:t>Inversión inicial</w:t>
            </w:r>
          </w:p>
        </w:tc>
        <w:tc>
          <w:tcPr>
            <w:tcW w:type="dxa" w:w="306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20"/>
              </w:rPr>
              <w:t>Cargo fijo mensual</w:t>
            </w:r>
          </w:p>
        </w:tc>
        <w:tc>
          <w:tcPr>
            <w:tcW w:type="dxa" w:w="323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4A98C9"/>
          </w:tcPr>
          <w:p>
            <w:pPr>
              <w:spacing w:after="0" w:line="247" w:lineRule="auto"/>
            </w:pPr>
            <w:r>
              <w:rPr>
                <w:rFonts w:ascii="Carlito" w:hAnsi="Carlito"/>
                <w:b/>
                <w:color w:val="FFFFFF"/>
                <w:sz w:val="20"/>
              </w:rPr>
              <w:t>Valor por uso</w:t>
            </w:r>
          </w:p>
        </w:tc>
      </w:tr>
      <w:tr>
        <w:trPr>
          <w:cantSplit/>
        </w:trPr>
        <w:tc>
          <w:tcPr>
            <w:tcW w:type="dxa" w:w="306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jc w:val="center"/>
            </w:pPr>
            <w:r>
              <w:rPr>
                <w:rFonts w:ascii="Carlito" w:hAnsi="Carlito"/>
                <w:b/>
                <w:color w:val="6BAA68"/>
                <w:sz w:val="24"/>
              </w:rPr>
              <w:t>$0</w:t>
            </w:r>
          </w:p>
        </w:tc>
        <w:tc>
          <w:tcPr>
            <w:tcW w:type="dxa" w:w="306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jc w:val="center"/>
            </w:pPr>
            <w:r>
              <w:rPr>
                <w:rFonts w:ascii="Carlito" w:hAnsi="Carlito"/>
                <w:b/>
                <w:color w:val="6BAA68"/>
                <w:sz w:val="24"/>
              </w:rPr>
              <w:t>$0</w:t>
            </w:r>
          </w:p>
        </w:tc>
        <w:tc>
          <w:tcPr>
            <w:tcW w:type="dxa" w:w="3231"/>
            <w:vAlign w:val="center"/>
            <w:tcMar>
              <w:top w:w="90" w:type="dxa"/>
              <w:start w:w="100" w:type="dxa"/>
              <w:bottom w:w="90" w:type="dxa"/>
              <w:end w:w="100" w:type="dxa"/>
            </w:tcMar>
            <w:tcBorders>
              <w:top w:val="single" w:sz="5" w:color="D4DEE6"/>
              <w:left w:val="single" w:sz="5" w:color="D4DEE6"/>
              <w:bottom w:val="single" w:sz="5" w:color="D4DEE6"/>
              <w:right w:val="single" w:sz="5" w:color="D4DEE6"/>
            </w:tcBorders>
            <w:shd w:fill="EDF6EC"/>
          </w:tcPr>
          <w:p>
            <w:pPr>
              <w:spacing w:after="0" w:line="247" w:lineRule="auto"/>
              <w:jc w:val="center"/>
            </w:pPr>
            <w:r>
              <w:rPr>
                <w:rFonts w:ascii="Carlito" w:hAnsi="Carlito"/>
                <w:b/>
                <w:color w:val="6BAA68"/>
                <w:sz w:val="24"/>
              </w:rPr>
              <w:t>5% sobre el valor nominal de los QR emitidos</w:t>
            </w:r>
          </w:p>
        </w:tc>
      </w:tr>
    </w:tbl>
    <w:tbl>
      <w:tblPr>
        <w:tblW w:type="auto" w:w="0"/>
        <w:jc w:val="center"/>
        <w:tblLayout w:type="fixed"/>
        <w:tblLook w:firstColumn="1" w:firstRow="1" w:lastColumn="0" w:lastRow="0" w:noHBand="0" w:noVBand="1" w:val="04A0"/>
      </w:tblPr>
      <w:tblGrid>
        <w:gridCol w:w="142"/>
        <w:gridCol w:w="9071"/>
      </w:tblGrid>
      <w:tr>
        <w:tc>
          <w:tcPr>
            <w:tcW w:type="dxa" w:w="142"/>
            <w:shd w:fill="6BAA68"/>
          </w:tcPr>
          <w:p/>
        </w:tc>
        <w:tc>
          <w:tcPr>
            <w:tcW w:type="dxa" w:w="9071"/>
            <w:shd w:fill="EDF6EC"/>
            <w:tcMar>
              <w:top w:w="130" w:type="dxa"/>
              <w:start w:w="150" w:type="dxa"/>
              <w:bottom w:w="130" w:type="dxa"/>
              <w:end w:w="150" w:type="dxa"/>
            </w:tcMar>
            <w:tcBorders>
              <w:top w:val="single" w:sz="6" w:color="6BAA68"/>
              <w:bottom w:val="single" w:sz="6" w:color="6BAA68"/>
              <w:right w:val="single" w:sz="6" w:color="6BAA68"/>
            </w:tcBorders>
          </w:tcPr>
          <w:p>
            <w:pPr>
              <w:spacing w:after="60"/>
            </w:pPr>
            <w:r>
              <w:rPr>
                <w:rFonts w:ascii="Carlito" w:hAnsi="Carlito"/>
                <w:b/>
                <w:color w:val="6BAA68"/>
                <w:sz w:val="21"/>
              </w:rPr>
              <w:t>ALINEACIÓN DE INTERESES</w:t>
            </w:r>
          </w:p>
          <w:p>
            <w:pPr>
              <w:spacing w:after="0" w:line="259" w:lineRule="auto"/>
            </w:pPr>
            <w:r>
              <w:rPr>
                <w:rFonts w:ascii="Carlito" w:hAnsi="Carlito"/>
                <w:color w:val="17202A"/>
                <w:sz w:val="20"/>
              </w:rPr>
              <w:t>El organizador puede acceder a una solución completa sin financiar su desarrollo. GestionAR Business asume la inversión tecnológica y obtiene ingresos únicamente cuando la plataforma es utilizada para emitir entradas en un evento.</w:t>
            </w:r>
          </w:p>
        </w:tc>
      </w:tr>
    </w:tbl>
    <w:p>
      <w:pPr>
        <w:spacing w:after="0"/>
      </w:pPr>
    </w:p>
    <w:p>
      <w:pPr>
        <w:spacing w:before="160" w:after="100"/>
        <w:keepNext/>
      </w:pPr>
      <w:r>
        <w:rPr>
          <w:rFonts w:ascii="Carlito" w:hAnsi="Carlito"/>
          <w:b/>
          <w:color w:val="17202A"/>
          <w:sz w:val="27"/>
        </w:rPr>
        <w:t>Contacto</w:t>
      </w:r>
    </w:p>
    <w:tbl>
      <w:tblPr>
        <w:tblW w:type="auto" w:w="0"/>
        <w:jc w:val="center"/>
        <w:tblLayout w:type="fixed"/>
        <w:tblLook w:firstColumn="1" w:firstRow="1" w:lastColumn="0" w:lastRow="0" w:noHBand="0" w:noVBand="1" w:val="04A0"/>
      </w:tblPr>
      <w:tblGrid>
        <w:gridCol w:w="2835"/>
        <w:gridCol w:w="6520"/>
      </w:tblGrid>
      <w:tr>
        <w:tc>
          <w:tcPr>
            <w:tcW w:type="dxa" w:w="4933"/>
            <w:shd w:fill="EAF4FA"/>
            <w:tcMar>
              <w:top w:w="160" w:type="dxa"/>
              <w:start w:w="160" w:type="dxa"/>
              <w:bottom w:w="160" w:type="dxa"/>
              <w:end w:w="160" w:type="dxa"/>
            </w:tcMar>
            <w:tcBorders>
              <w:top w:val="single" w:sz="6" w:color="4A98C9"/>
              <w:left w:val="single" w:sz="6" w:color="4A98C9"/>
              <w:bottom w:val="single" w:sz="6" w:color="4A98C9"/>
              <w:right w:val="single" w:sz="6" w:color="4A98C9"/>
            </w:tcBorders>
          </w:tcPr>
          <w:p>
            <w:pPr>
              <w:jc w:val="center"/>
            </w:pPr>
            <w:r>
              <w:drawing>
                <wp:inline xmlns:a="http://schemas.openxmlformats.org/drawingml/2006/main" xmlns:pic="http://schemas.openxmlformats.org/drawingml/2006/picture">
                  <wp:extent cx="1554480" cy="424501"/>
                  <wp:docPr id="2" name="Picture 2"/>
                  <wp:cNvGraphicFramePr>
                    <a:graphicFrameLocks noChangeAspect="1"/>
                  </wp:cNvGraphicFramePr>
                  <a:graphic>
                    <a:graphicData uri="http://schemas.openxmlformats.org/drawingml/2006/picture">
                      <pic:pic>
                        <pic:nvPicPr>
                          <pic:cNvPr id="0" name="Logo-completo-negro-sinfondo.png"/>
                          <pic:cNvPicPr/>
                        </pic:nvPicPr>
                        <pic:blipFill>
                          <a:blip r:embed="rId11"/>
                          <a:stretch>
                            <a:fillRect/>
                          </a:stretch>
                        </pic:blipFill>
                        <pic:spPr>
                          <a:xfrm>
                            <a:off x="0" y="0"/>
                            <a:ext cx="1554480" cy="424501"/>
                          </a:xfrm>
                          <a:prstGeom prst="rect"/>
                        </pic:spPr>
                      </pic:pic>
                    </a:graphicData>
                  </a:graphic>
                </wp:inline>
              </w:drawing>
            </w:r>
          </w:p>
        </w:tc>
        <w:tc>
          <w:tcPr>
            <w:tcW w:type="dxa" w:w="4933"/>
            <w:shd w:fill="EAF4FA"/>
            <w:tcMar>
              <w:top w:w="160" w:type="dxa"/>
              <w:start w:w="160" w:type="dxa"/>
              <w:bottom w:w="160" w:type="dxa"/>
              <w:end w:w="160" w:type="dxa"/>
            </w:tcMar>
            <w:tcBorders>
              <w:top w:val="single" w:sz="6" w:color="4A98C9"/>
              <w:left w:val="single" w:sz="6" w:color="4A98C9"/>
              <w:bottom w:val="single" w:sz="6" w:color="4A98C9"/>
              <w:right w:val="single" w:sz="6" w:color="4A98C9"/>
            </w:tcBorders>
          </w:tcPr>
          <w:p>
            <w:r>
              <w:rPr>
                <w:rFonts w:ascii="Carlito" w:hAnsi="Carlito"/>
                <w:b/>
                <w:color w:val="17202A"/>
                <w:sz w:val="24"/>
              </w:rPr>
              <w:t>GestionAR Business</w:t>
            </w:r>
          </w:p>
          <w:p>
            <w:pPr>
              <w:spacing w:after="20"/>
            </w:pPr>
            <w:r>
              <w:rPr>
                <w:rFonts w:ascii="Carlito" w:hAnsi="Carlito"/>
                <w:color w:val="4E5D6C"/>
                <w:sz w:val="20"/>
              </w:rPr>
              <w:t>Rubén Torres · Desarrollador de Software</w:t>
            </w:r>
          </w:p>
          <w:p>
            <w:pPr>
              <w:spacing w:after="20"/>
            </w:pPr>
            <w:r>
              <w:rPr>
                <w:rFonts w:ascii="Carlito" w:hAnsi="Carlito"/>
                <w:color w:val="4E5D6C"/>
                <w:sz w:val="20"/>
              </w:rPr>
              <w:t>gestionar.business@gmail.com</w:t>
            </w:r>
          </w:p>
          <w:p>
            <w:pPr>
              <w:spacing w:after="20"/>
            </w:pPr>
            <w:r>
              <w:rPr>
                <w:rFonts w:ascii="Carlito" w:hAnsi="Carlito"/>
                <w:color w:val="4E5D6C"/>
                <w:sz w:val="20"/>
              </w:rPr>
              <w:t>2284 661145</w:t>
            </w:r>
          </w:p>
          <w:p>
            <w:pPr>
              <w:spacing w:after="20"/>
            </w:pPr>
            <w:r>
              <w:rPr>
                <w:rFonts w:ascii="Carlito" w:hAnsi="Carlito"/>
                <w:color w:val="4E5D6C"/>
                <w:sz w:val="20"/>
              </w:rPr>
              <w:t>Olavarría, Buenos Aires</w:t>
            </w:r>
          </w:p>
        </w:tc>
      </w:tr>
    </w:tbl>
    <w:p>
      <w:pPr>
        <w:spacing w:before="360"/>
        <w:jc w:val="center"/>
      </w:pPr>
      <w:r>
        <w:rPr>
          <w:rFonts w:ascii="Carlito" w:hAnsi="Carlito"/>
          <w:i/>
          <w:color w:val="7D8790"/>
          <w:sz w:val="17"/>
        </w:rPr>
        <w:t>Documento sujeto a revisión y aceptación comercial entre las partes.</w:t>
      </w:r>
    </w:p>
    <w:sectPr w:rsidR="00FC693F" w:rsidRPr="0006063C" w:rsidSect="00034616">
      <w:headerReference w:type="default" r:id="rId9"/>
      <w:footerReference w:type="default" r:id="rId10"/>
      <w:pgSz w:w="11906" w:h="16838"/>
      <w:pgMar w:top="964" w:right="1020" w:bottom="879" w:left="102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7F8A93"/>
        <w:sz w:val="16"/>
      </w:rPr>
      <w:t>GestionAR Business  ·  Propuesta de uso  ·  Confidencial</w:t>
    </w:r>
    <w:r>
      <w:t xml:space="preserve">    |    </w:t>
    </w:r>
    <w:r>
      <w:rPr>
        <w:rFonts w:ascii="Carlito" w:hAnsi="Carlito"/>
        <w:color w:val="78848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rlito" w:hAnsi="Carlito"/>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color w:val="17202A"/>
      <w:sz w:val="20"/>
    </w:rPr>
  </w:style>
  <w:style w:type="paragraph" w:styleId="ListBullet2">
    <w:name w:val="List Bullet 2"/>
    <w:basedOn w:val="Normal"/>
    <w:uiPriority w:val="99"/>
    <w:unhideWhenUsed/>
    <w:rsid w:val="00326F90"/>
    <w:pPr>
      <w:numPr>
        <w:numId w:val="2"/>
      </w:numPr>
      <w:contextualSpacing/>
    </w:pPr>
    <w:rPr>
      <w:rFonts w:ascii="Carlito" w:hAnsi="Carlito"/>
      <w:color w:val="17202A"/>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color w:val="17202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uso - Plataforma de Eventos</dc:title>
  <dc:subject>Propuesta funcional y comercial</dc:subject>
  <dc:creator>GestionAR Business</dc:creator>
  <cp:keywords>eventos, QR, promotores, experiencia social, GestionAR Business</cp:keywords>
  <dc:description>generated by python-docx</dc:description>
  <cp:lastModifiedBy/>
  <cp:revision>1</cp:revision>
  <dcterms:created xsi:type="dcterms:W3CDTF">2013-12-23T23:15:00Z</dcterms:created>
  <dcterms:modified xsi:type="dcterms:W3CDTF">2013-12-23T23:15:00Z</dcterms:modified>
  <cp:category/>
</cp:coreProperties>
</file>