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3DE30048" w:rsidR="005A1AEE" w:rsidRDefault="005A1AEE" w:rsidP="00C27FB0">
            <w:pPr>
              <w:rPr>
                <w:b/>
              </w:rPr>
            </w:pPr>
            <w:r>
              <w:rPr>
                <w:b/>
              </w:rPr>
              <w:t>Ruben Mansilla Villena</w:t>
            </w:r>
            <w:r>
              <w:rPr>
                <w:b/>
              </w:rPr>
              <w:br/>
              <w:t>Eduardo Compan</w:t>
            </w:r>
            <w:r>
              <w:rPr>
                <w:b/>
              </w:rPr>
              <w:br/>
              <w:t>Carlos Araya</w:t>
            </w:r>
            <w:r>
              <w:rPr>
                <w:b/>
              </w:rPr>
              <w:br/>
              <w:t>Alejandro Gysling</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75E6A69" w:rsidR="00D110EC" w:rsidRDefault="005A1AEE"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7831BDF" w:rsidR="00D110EC" w:rsidRDefault="005A1AEE" w:rsidP="00C27FB0">
            <w:pPr>
              <w:rPr>
                <w:b/>
              </w:rPr>
            </w:pPr>
            <w:r>
              <w:rPr>
                <w:b/>
              </w:rPr>
              <w:t>Maipú</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009DC8D2" w:rsidR="00D110EC" w:rsidRPr="00260DE4" w:rsidRDefault="00260DE4" w:rsidP="00DC7A34">
            <w:pPr>
              <w:rPr>
                <w:b/>
                <w:bCs/>
                <w:iCs/>
              </w:rPr>
            </w:pPr>
            <w:r w:rsidRPr="00260DE4">
              <w:rPr>
                <w:rFonts w:ascii="Calibri" w:hAnsi="Calibri" w:cs="Arial"/>
                <w:b/>
                <w:bCs/>
                <w:iCs/>
                <w:color w:val="000000" w:themeColor="text1"/>
                <w:sz w:val="20"/>
                <w:szCs w:val="20"/>
                <w:lang w:eastAsia="es-CL"/>
              </w:rPr>
              <w:t xml:space="preserve">GATI MOP- </w:t>
            </w:r>
            <w:r w:rsidRPr="00260DE4">
              <w:rPr>
                <w:rFonts w:ascii="Calibri" w:hAnsi="Calibri" w:cs="Arial"/>
                <w:iCs/>
                <w:color w:val="000000" w:themeColor="text1"/>
                <w:sz w:val="20"/>
                <w:szCs w:val="20"/>
                <w:lang w:eastAsia="es-CL"/>
              </w:rPr>
              <w:t>Gestión de Activos Tecnológicos e Informáticos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5C9AAA4" w14:textId="6862FD0F"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Desarrollo y arquitectura de software:</w:t>
            </w:r>
            <w:r w:rsidRPr="00260DE4">
              <w:rPr>
                <w:rFonts w:ascii="Calibri" w:hAnsi="Calibri" w:cs="Arial"/>
                <w:iCs/>
                <w:color w:val="000000" w:themeColor="text1"/>
                <w:sz w:val="20"/>
                <w:szCs w:val="20"/>
                <w:lang w:eastAsia="es-CL"/>
              </w:rPr>
              <w:t xml:space="preserve"> Abordados mediante la construcción del </w:t>
            </w:r>
            <w:proofErr w:type="spellStart"/>
            <w:r w:rsidRPr="00260DE4">
              <w:rPr>
                <w:rFonts w:ascii="Calibri" w:hAnsi="Calibri" w:cs="Arial"/>
                <w:iCs/>
                <w:color w:val="000000" w:themeColor="text1"/>
                <w:sz w:val="20"/>
                <w:szCs w:val="20"/>
                <w:lang w:eastAsia="es-CL"/>
              </w:rPr>
              <w:t>backend</w:t>
            </w:r>
            <w:proofErr w:type="spellEnd"/>
            <w:r w:rsidRPr="00260DE4">
              <w:rPr>
                <w:rFonts w:ascii="Calibri" w:hAnsi="Calibri" w:cs="Arial"/>
                <w:iCs/>
                <w:color w:val="000000" w:themeColor="text1"/>
                <w:sz w:val="20"/>
                <w:szCs w:val="20"/>
                <w:lang w:eastAsia="es-CL"/>
              </w:rPr>
              <w:t xml:space="preserve"> y el</w:t>
            </w:r>
            <w:r>
              <w:rPr>
                <w:rFonts w:ascii="Calibri" w:hAnsi="Calibri" w:cs="Arial"/>
                <w:iCs/>
                <w:color w:val="000000" w:themeColor="text1"/>
                <w:sz w:val="20"/>
                <w:szCs w:val="20"/>
                <w:lang w:eastAsia="es-CL"/>
              </w:rPr>
              <w:t xml:space="preserve"> </w:t>
            </w:r>
            <w:proofErr w:type="spellStart"/>
            <w:r w:rsidRPr="00260DE4">
              <w:rPr>
                <w:rFonts w:ascii="Calibri" w:hAnsi="Calibri" w:cs="Arial"/>
                <w:iCs/>
                <w:color w:val="000000" w:themeColor="text1"/>
                <w:sz w:val="20"/>
                <w:szCs w:val="20"/>
                <w:lang w:eastAsia="es-CL"/>
              </w:rPr>
              <w:t>frontend</w:t>
            </w:r>
            <w:proofErr w:type="spellEnd"/>
            <w:r w:rsidRPr="00260DE4">
              <w:rPr>
                <w:rFonts w:ascii="Calibri" w:hAnsi="Calibri" w:cs="Arial"/>
                <w:iCs/>
                <w:color w:val="000000" w:themeColor="text1"/>
                <w:sz w:val="20"/>
                <w:szCs w:val="20"/>
                <w:lang w:eastAsia="es-CL"/>
              </w:rPr>
              <w:t xml:space="preserve"> del sistema y la definición de una arquitectura</w:t>
            </w:r>
            <w:r>
              <w:rPr>
                <w:rFonts w:ascii="Calibri" w:hAnsi="Calibri" w:cs="Arial"/>
                <w:iCs/>
                <w:color w:val="000000" w:themeColor="text1"/>
                <w:sz w:val="20"/>
                <w:szCs w:val="20"/>
                <w:lang w:eastAsia="es-CL"/>
              </w:rPr>
              <w:t>.</w:t>
            </w:r>
            <w:r w:rsidRPr="00260DE4">
              <w:rPr>
                <w:rFonts w:ascii="Calibri" w:hAnsi="Calibri" w:cs="Arial"/>
                <w:iCs/>
                <w:color w:val="000000" w:themeColor="text1"/>
                <w:sz w:val="20"/>
                <w:szCs w:val="20"/>
                <w:lang w:eastAsia="es-CL"/>
              </w:rPr>
              <w:t xml:space="preserve"> </w:t>
            </w:r>
          </w:p>
          <w:p w14:paraId="48EE1DC6" w14:textId="3D777174"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Gestión de bases de datos:</w:t>
            </w:r>
            <w:r w:rsidRPr="00260DE4">
              <w:rPr>
                <w:rFonts w:ascii="Calibri" w:hAnsi="Calibri" w:cs="Arial"/>
                <w:iCs/>
                <w:color w:val="000000" w:themeColor="text1"/>
                <w:sz w:val="20"/>
                <w:szCs w:val="20"/>
                <w:lang w:eastAsia="es-CL"/>
              </w:rPr>
              <w:t xml:space="preserve"> Implica el diseño y la implementación del modelo relacional para garantizar la persistencia y centralizació</w:t>
            </w:r>
            <w:r>
              <w:rPr>
                <w:rFonts w:ascii="Calibri" w:hAnsi="Calibri" w:cs="Arial"/>
                <w:iCs/>
                <w:color w:val="000000" w:themeColor="text1"/>
                <w:sz w:val="20"/>
                <w:szCs w:val="20"/>
                <w:lang w:eastAsia="es-CL"/>
              </w:rPr>
              <w:t>n</w:t>
            </w:r>
            <w:r w:rsidRPr="00260DE4">
              <w:rPr>
                <w:rFonts w:ascii="Calibri" w:hAnsi="Calibri" w:cs="Arial"/>
                <w:iCs/>
                <w:color w:val="000000" w:themeColor="text1"/>
                <w:sz w:val="20"/>
                <w:szCs w:val="20"/>
                <w:lang w:eastAsia="es-CL"/>
              </w:rPr>
              <w:t xml:space="preserve">. </w:t>
            </w:r>
          </w:p>
          <w:p w14:paraId="0C83FFCC" w14:textId="7FD9285B" w:rsidR="00D110EC" w:rsidRPr="00260DE4" w:rsidRDefault="00260DE4" w:rsidP="00C27FB0">
            <w:pPr>
              <w:rPr>
                <w:b/>
                <w:iCs/>
              </w:rPr>
            </w:pPr>
            <w:r w:rsidRPr="00260DE4">
              <w:rPr>
                <w:rFonts w:ascii="Calibri" w:hAnsi="Calibri" w:cs="Arial"/>
                <w:b/>
                <w:bCs/>
                <w:iCs/>
                <w:color w:val="000000" w:themeColor="text1"/>
                <w:sz w:val="20"/>
                <w:szCs w:val="20"/>
                <w:lang w:eastAsia="es-CL"/>
              </w:rPr>
              <w:t>Gestión de proyectos de TI e inteligencia empresarial:</w:t>
            </w:r>
            <w:r w:rsidRPr="00260DE4">
              <w:rPr>
                <w:rFonts w:ascii="Calibri" w:hAnsi="Calibri" w:cs="Arial"/>
                <w:iCs/>
                <w:color w:val="000000" w:themeColor="text1"/>
                <w:sz w:val="20"/>
                <w:szCs w:val="20"/>
                <w:lang w:eastAsia="es-CL"/>
              </w:rPr>
              <w:t xml:space="preserve"> Vinculados a la resolución de un problema empresarial crítico y a la implementación de un módulo de análisis para apoyar la toma de decisiones.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6FA2DD2E" w14:textId="77777777"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Desarrollo de soluciones de software:</w:t>
            </w:r>
            <w:r w:rsidRPr="00260DE4">
              <w:rPr>
                <w:rFonts w:ascii="Calibri" w:hAnsi="Calibri" w:cs="Arial"/>
                <w:color w:val="000000" w:themeColor="text1"/>
                <w:sz w:val="20"/>
                <w:szCs w:val="20"/>
                <w:lang w:eastAsia="es-CL"/>
              </w:rPr>
              <w:t xml:space="preserve"> Construcción del sistema desarrollando funcionalidades transaccionales básicas (CRUD) para gestionar el inventario de hardware y licencias.</w:t>
            </w:r>
          </w:p>
          <w:p w14:paraId="3BBFEF36" w14:textId="496B46CD"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Modelado y administración de bases de datos:</w:t>
            </w:r>
            <w:r w:rsidRPr="00260DE4">
              <w:rPr>
                <w:rFonts w:ascii="Calibri" w:hAnsi="Calibri" w:cs="Arial"/>
                <w:color w:val="000000" w:themeColor="text1"/>
                <w:sz w:val="20"/>
                <w:szCs w:val="20"/>
                <w:lang w:eastAsia="es-CL"/>
              </w:rPr>
              <w:t xml:space="preserve"> Diseño e implementación de una base de datos centralizada y segura garantizando la integridad, trazabilidad y el historial del ciclo de vida de los activos tecnológicos.</w:t>
            </w:r>
          </w:p>
          <w:p w14:paraId="490F1FA0" w14:textId="59802192" w:rsidR="00260DE4" w:rsidRP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Arquitectura y despliegue del sistema:</w:t>
            </w:r>
            <w:r w:rsidRPr="00260DE4">
              <w:rPr>
                <w:rFonts w:ascii="Calibri" w:hAnsi="Calibri" w:cs="Arial"/>
                <w:color w:val="000000" w:themeColor="text1"/>
                <w:sz w:val="20"/>
                <w:szCs w:val="20"/>
                <w:lang w:eastAsia="es-CL"/>
              </w:rPr>
              <w:t xml:space="preserve"> Implementación y configuración del entorno de la aplicación mediante contenedores Docker, asegurando un despliegue escalable</w:t>
            </w:r>
            <w:r>
              <w:rPr>
                <w:rFonts w:ascii="Calibri" w:hAnsi="Calibri" w:cs="Arial"/>
                <w:color w:val="000000" w:themeColor="text1"/>
                <w:sz w:val="20"/>
                <w:szCs w:val="20"/>
                <w:lang w:eastAsia="es-CL"/>
              </w:rPr>
              <w:t>.</w:t>
            </w:r>
          </w:p>
          <w:p w14:paraId="19FAD4CD" w14:textId="793B7377" w:rsidR="00D110EC" w:rsidRDefault="00260DE4" w:rsidP="14C86939">
            <w:pPr>
              <w:rPr>
                <w:b/>
                <w:bCs/>
              </w:rPr>
            </w:pPr>
            <w:r w:rsidRPr="00260DE4">
              <w:rPr>
                <w:rFonts w:ascii="Calibri" w:hAnsi="Calibri" w:cs="Arial"/>
                <w:b/>
                <w:bCs/>
                <w:color w:val="000000" w:themeColor="text1"/>
                <w:sz w:val="20"/>
                <w:szCs w:val="20"/>
                <w:lang w:eastAsia="es-CL"/>
              </w:rPr>
              <w:t>Análisis de negocio e integración de sistemas:</w:t>
            </w:r>
            <w:r w:rsidRPr="00260DE4">
              <w:rPr>
                <w:rFonts w:ascii="Calibri" w:hAnsi="Calibri" w:cs="Arial"/>
                <w:color w:val="000000" w:themeColor="text1"/>
                <w:sz w:val="20"/>
                <w:szCs w:val="20"/>
                <w:lang w:eastAsia="es-CL"/>
              </w:rPr>
              <w:t xml:space="preserve"> Diseño de soluciones que aporten valor a la gestión mediante la implementación de un módulo de análisis</w:t>
            </w:r>
            <w:r w:rsidR="00FD22F5">
              <w:rPr>
                <w:rFonts w:ascii="Calibri" w:hAnsi="Calibri" w:cs="Arial"/>
                <w:color w:val="000000" w:themeColor="text1"/>
                <w:sz w:val="20"/>
                <w:szCs w:val="20"/>
                <w:lang w:eastAsia="es-CL"/>
              </w:rPr>
              <w:t xml:space="preserve">, </w:t>
            </w:r>
            <w:r w:rsidRPr="00260DE4">
              <w:rPr>
                <w:rFonts w:ascii="Calibri" w:hAnsi="Calibri" w:cs="Arial"/>
                <w:color w:val="000000" w:themeColor="text1"/>
                <w:sz w:val="20"/>
                <w:szCs w:val="20"/>
                <w:lang w:eastAsia="es-CL"/>
              </w:rPr>
              <w:t>la planificación de adquisiciones, y desarrollo de integraciones para ampliar la funcionalidad del sistema a través de la interacción con servicios externos.</w:t>
            </w:r>
          </w:p>
        </w:tc>
      </w:tr>
    </w:tbl>
    <w:p w14:paraId="1F99D9B2" w14:textId="0BFC9623"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1C2C5C7" w14:textId="77777777" w:rsidR="00D07714" w:rsidRDefault="00D07714"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F43A902" w14:textId="78A2509D" w:rsidR="00D07714" w:rsidRDefault="00D07714" w:rsidP="00D07714">
            <w:p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La situación que aborda este proyecto se sitúa en la Región Metropolitana</w:t>
            </w:r>
            <w:r w:rsidRPr="00D07714">
              <w:rPr>
                <w:rFonts w:ascii="Calibri" w:hAnsi="Calibri" w:cs="Arial"/>
                <w:color w:val="000000" w:themeColor="text1"/>
                <w:sz w:val="20"/>
                <w:szCs w:val="20"/>
                <w:lang w:eastAsia="es-CL"/>
              </w:rPr>
              <w:t xml:space="preserve"> dentro de la Dirección General de Concesiones </w:t>
            </w:r>
            <w:r w:rsidRPr="00D07714">
              <w:rPr>
                <w:rFonts w:ascii="Calibri" w:hAnsi="Calibri" w:cs="Arial"/>
                <w:color w:val="000000" w:themeColor="text1"/>
                <w:sz w:val="20"/>
                <w:szCs w:val="20"/>
                <w:lang w:eastAsia="es-CL"/>
              </w:rPr>
              <w:t>del Ministerio de Obras Públicas (</w:t>
            </w:r>
            <w:r w:rsidRPr="00D07714">
              <w:rPr>
                <w:rFonts w:ascii="Calibri" w:hAnsi="Calibri" w:cs="Arial"/>
                <w:color w:val="000000" w:themeColor="text1"/>
                <w:sz w:val="20"/>
                <w:szCs w:val="20"/>
                <w:lang w:eastAsia="es-CL"/>
              </w:rPr>
              <w:t xml:space="preserve">DGC - </w:t>
            </w:r>
            <w:r w:rsidRPr="00D07714">
              <w:rPr>
                <w:rFonts w:ascii="Calibri" w:hAnsi="Calibri" w:cs="Arial"/>
                <w:color w:val="000000" w:themeColor="text1"/>
                <w:sz w:val="20"/>
                <w:szCs w:val="20"/>
                <w:lang w:eastAsia="es-CL"/>
              </w:rPr>
              <w:t>MOP). Esta institución pública se caracteriza por manejar un volumen crítico de infraestructura, datos y personal, lo que exige que su área de Soporte Informático opere con la máxima eficiencia y transparencia regulatoria.</w:t>
            </w:r>
          </w:p>
          <w:p w14:paraId="42813FFC" w14:textId="55A0A4F1" w:rsidR="00D07714" w:rsidRPr="00D07714" w:rsidRDefault="00D07714"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0C95476D" w14:textId="3B92A466" w:rsidR="00D07714" w:rsidRDefault="00D07714" w:rsidP="14C86939">
            <w:p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El problema central radica en la ausencia de un sistema centralizado para la gestión y trazabilidad del ciclo de vida de los activos tecnológicos (hardware y licencias) de la institución. Actualmente, el control se realiza mediante archivos Excel descentralizados y flujos de información por correo electrónico, lo que genera:</w:t>
            </w:r>
          </w:p>
          <w:p w14:paraId="14FB2F06" w14:textId="73E3533A"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Pérdida de trazabilidad histórica en las asignaciones, devoluciones o bajas de equipos. </w:t>
            </w:r>
          </w:p>
          <w:p w14:paraId="0347C204" w14:textId="3F310B11"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Ineficiencia crítica al desvincular funcionarios, al no saber con exactitud qué recursos recuperar. </w:t>
            </w:r>
          </w:p>
          <w:p w14:paraId="72EAB5D8" w14:textId="69641CAE"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Falta de vinculación entre las Órdenes de Compra (OC) y el stock físico real. </w:t>
            </w:r>
          </w:p>
          <w:p w14:paraId="314F079F" w14:textId="1FDB89CF" w:rsid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Riesgos de rechazo o inconsistencias en auditorías de la Contraloría General de la República (CGR) y en la justificación presupuestaria ante procesos de EVALTIC por no poder demostrar con datos confiables la obsolescencia técnica del parque informático.</w:t>
            </w:r>
          </w:p>
          <w:p w14:paraId="045CFB61" w14:textId="77777777" w:rsidR="00D07714" w:rsidRPr="00D07714" w:rsidRDefault="00D07714" w:rsidP="14C86939">
            <w:pPr>
              <w:jc w:val="both"/>
              <w:rPr>
                <w:rFonts w:ascii="Calibri" w:hAnsi="Calibri" w:cs="Arial"/>
                <w:color w:val="000000" w:themeColor="text1"/>
                <w:sz w:val="20"/>
                <w:szCs w:val="20"/>
                <w:lang w:eastAsia="es-CL"/>
              </w:rPr>
            </w:pPr>
          </w:p>
          <w:p w14:paraId="7A44B648" w14:textId="29671202" w:rsidR="00D07714" w:rsidRPr="00D07714" w:rsidRDefault="00D110EC"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lastRenderedPageBreak/>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579BC97" w14:textId="3B75F5B5" w:rsidR="00D07714" w:rsidRPr="00D07714" w:rsidRDefault="00D07714" w:rsidP="00D07714">
            <w:pPr>
              <w:jc w:val="both"/>
              <w:rPr>
                <w:rFonts w:ascii="Calibri" w:hAnsi="Calibri" w:cs="Arial"/>
                <w:iCs/>
                <w:color w:val="000000" w:themeColor="text1"/>
                <w:sz w:val="20"/>
                <w:szCs w:val="20"/>
                <w:lang w:eastAsia="es-CL"/>
              </w:rPr>
            </w:pPr>
            <w:r w:rsidRPr="00D07714">
              <w:rPr>
                <w:rFonts w:ascii="Calibri" w:hAnsi="Calibri" w:cs="Arial"/>
                <w:iCs/>
                <w:color w:val="000000" w:themeColor="text1"/>
                <w:sz w:val="20"/>
                <w:szCs w:val="20"/>
                <w:lang w:eastAsia="es-CL"/>
              </w:rPr>
              <w:t>La solución impacta directamente al equipo de Soporte Informático (optimizando sus tiempos de control operativos</w:t>
            </w:r>
            <w:r w:rsidRPr="00D07714">
              <w:rPr>
                <w:rFonts w:ascii="Calibri" w:hAnsi="Calibri" w:cs="Arial"/>
                <w:iCs/>
                <w:color w:val="000000" w:themeColor="text1"/>
                <w:sz w:val="20"/>
                <w:szCs w:val="20"/>
                <w:lang w:eastAsia="es-CL"/>
              </w:rPr>
              <w:t>),</w:t>
            </w:r>
            <w:r w:rsidRPr="00D07714">
              <w:rPr>
                <w:rFonts w:ascii="Calibri" w:hAnsi="Calibri" w:cs="Arial"/>
                <w:iCs/>
                <w:color w:val="000000" w:themeColor="text1"/>
                <w:sz w:val="20"/>
                <w:szCs w:val="20"/>
                <w:lang w:eastAsia="es-CL"/>
              </w:rPr>
              <w:t xml:space="preserve"> a las jefaturas de TI (entregando analítica para la toma de decisiones presupuestarias), y a la organización en general, mitigando riesgos legales y financieros ante entes fiscalizadores.</w:t>
            </w:r>
          </w:p>
          <w:p w14:paraId="78EC6193" w14:textId="77777777" w:rsidR="00E20DFE"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1A22ACBF" w14:textId="255663EC" w:rsidR="00D07714" w:rsidRPr="00D07714" w:rsidDel="008018E6" w:rsidRDefault="00D07714" w:rsidP="00D07714">
            <w:pPr>
              <w:jc w:val="both"/>
              <w:rPr>
                <w:rFonts w:ascii="Calibri" w:hAnsi="Calibri" w:cs="Arial"/>
                <w:color w:val="548DD4"/>
                <w:sz w:val="20"/>
                <w:szCs w:val="20"/>
                <w:lang w:eastAsia="es-CL"/>
              </w:rPr>
            </w:pPr>
            <w:r w:rsidRPr="00D07714">
              <w:rPr>
                <w:rFonts w:ascii="Calibri" w:hAnsi="Calibri" w:cs="Arial"/>
                <w:color w:val="000000" w:themeColor="text1"/>
                <w:sz w:val="20"/>
                <w:szCs w:val="20"/>
                <w:lang w:eastAsia="es-CL"/>
              </w:rPr>
              <w:t>El proyecto aporta un valor real al automatizar y centralizar un proceso crítico</w:t>
            </w:r>
            <w:r>
              <w:rPr>
                <w:rFonts w:ascii="Calibri" w:hAnsi="Calibri" w:cs="Arial"/>
                <w:color w:val="000000" w:themeColor="text1"/>
                <w:sz w:val="20"/>
                <w:szCs w:val="20"/>
                <w:lang w:eastAsia="es-CL"/>
              </w:rPr>
              <w:t>, que esta</w:t>
            </w:r>
            <w:r w:rsidRPr="00D07714">
              <w:rPr>
                <w:rFonts w:ascii="Calibri" w:hAnsi="Calibri" w:cs="Arial"/>
                <w:color w:val="000000" w:themeColor="text1"/>
                <w:sz w:val="20"/>
                <w:szCs w:val="20"/>
                <w:lang w:eastAsia="es-CL"/>
              </w:rPr>
              <w:t xml:space="preserve"> propens</w:t>
            </w:r>
            <w:r>
              <w:rPr>
                <w:rFonts w:ascii="Calibri" w:hAnsi="Calibri" w:cs="Arial"/>
                <w:color w:val="000000" w:themeColor="text1"/>
                <w:sz w:val="20"/>
                <w:szCs w:val="20"/>
                <w:lang w:eastAsia="es-CL"/>
              </w:rPr>
              <w:t>o</w:t>
            </w:r>
            <w:r w:rsidRPr="00D07714">
              <w:rPr>
                <w:rFonts w:ascii="Calibri" w:hAnsi="Calibri" w:cs="Arial"/>
                <w:color w:val="000000" w:themeColor="text1"/>
                <w:sz w:val="20"/>
                <w:szCs w:val="20"/>
                <w:lang w:eastAsia="es-CL"/>
              </w:rPr>
              <w:t xml:space="preserve"> a errores basados en archivos locales corruptibles, a una plataforma web segura, íntegra y trazable</w:t>
            </w:r>
            <w:r>
              <w:rPr>
                <w:rFonts w:ascii="Calibri" w:hAnsi="Calibri" w:cs="Arial"/>
                <w:color w:val="000000" w:themeColor="text1"/>
                <w:sz w:val="20"/>
                <w:szCs w:val="20"/>
                <w:lang w:eastAsia="es-CL"/>
              </w:rPr>
              <w:t>.</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2CA669CB" w14:textId="77777777"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 xml:space="preserve">En este apartado debes definir objetivos generales y específicos del Proyecto APT. Es importante aclarar que los objetivos se deben plantear en forma clara, concisa y sin dar mayores explicaciones, es decir, </w:t>
            </w:r>
            <w:r w:rsidRPr="007621F7">
              <w:rPr>
                <w:rFonts w:ascii="Calibri" w:hAnsi="Calibri"/>
                <w:color w:val="1F3864" w:themeColor="accent1" w:themeShade="80"/>
              </w:rPr>
              <w:lastRenderedPageBreak/>
              <w:t>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C5B3E" w14:textId="77777777" w:rsidR="00674008" w:rsidRDefault="00674008" w:rsidP="00D110EC">
      <w:pPr>
        <w:spacing w:after="0" w:line="240" w:lineRule="auto"/>
      </w:pPr>
      <w:r>
        <w:separator/>
      </w:r>
    </w:p>
  </w:endnote>
  <w:endnote w:type="continuationSeparator" w:id="0">
    <w:p w14:paraId="4F82BC80" w14:textId="77777777" w:rsidR="00674008" w:rsidRDefault="00674008"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2935D" w14:textId="77777777" w:rsidR="00674008" w:rsidRDefault="00674008" w:rsidP="00D110EC">
      <w:pPr>
        <w:spacing w:after="0" w:line="240" w:lineRule="auto"/>
      </w:pPr>
      <w:r>
        <w:separator/>
      </w:r>
    </w:p>
  </w:footnote>
  <w:footnote w:type="continuationSeparator" w:id="0">
    <w:p w14:paraId="500B326E" w14:textId="77777777" w:rsidR="00674008" w:rsidRDefault="00674008"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0CC6470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810119">
    <w:abstractNumId w:val="2"/>
  </w:num>
  <w:num w:numId="2" w16cid:durableId="158497995">
    <w:abstractNumId w:val="3"/>
  </w:num>
  <w:num w:numId="3" w16cid:durableId="1162503040">
    <w:abstractNumId w:val="0"/>
  </w:num>
  <w:num w:numId="4" w16cid:durableId="946078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260DE4"/>
    <w:rsid w:val="0028261B"/>
    <w:rsid w:val="00362730"/>
    <w:rsid w:val="00393B9B"/>
    <w:rsid w:val="00416B89"/>
    <w:rsid w:val="00565AE6"/>
    <w:rsid w:val="005673ED"/>
    <w:rsid w:val="00574894"/>
    <w:rsid w:val="00582596"/>
    <w:rsid w:val="005A1AEE"/>
    <w:rsid w:val="005B4D4A"/>
    <w:rsid w:val="00625E4A"/>
    <w:rsid w:val="00674008"/>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07714"/>
    <w:rsid w:val="00D110EC"/>
    <w:rsid w:val="00D12495"/>
    <w:rsid w:val="00D67975"/>
    <w:rsid w:val="00DA5CB1"/>
    <w:rsid w:val="00DC7A34"/>
    <w:rsid w:val="00E20DFE"/>
    <w:rsid w:val="00E65208"/>
    <w:rsid w:val="00EC3220"/>
    <w:rsid w:val="00F801BD"/>
    <w:rsid w:val="00FD22F5"/>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Pages>
  <Words>1474</Words>
  <Characters>8111</Characters>
  <Application>Microsoft Office Word</Application>
  <DocSecurity>0</DocSecurity>
  <Lines>67</Lines>
  <Paragraphs>19</Paragraphs>
  <ScaleCrop>false</ScaleCrop>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ruben mansilla</cp:lastModifiedBy>
  <cp:revision>13</cp:revision>
  <dcterms:created xsi:type="dcterms:W3CDTF">2022-08-24T18:07:00Z</dcterms:created>
  <dcterms:modified xsi:type="dcterms:W3CDTF">2026-08-18T02:10:00Z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