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28"/>
          <w:szCs w:val="28"/>
        </w:rPr>
      </w:pPr>
      <w:bookmarkStart w:colFirst="0" w:colLast="0" w:name="_917cn3sqy3ii" w:id="0"/>
      <w:bookmarkEnd w:id="0"/>
      <w:r w:rsidDel="00000000" w:rsidR="00000000" w:rsidRPr="00000000">
        <w:rPr>
          <w:rFonts w:ascii="Arial" w:cs="Arial" w:eastAsia="Arial" w:hAnsi="Arial"/>
          <w:sz w:val="28"/>
          <w:szCs w:val="28"/>
          <w:rtl w:val="0"/>
        </w:rPr>
        <w:t xml:space="preserve">PROYECTO FINAL | INTELIGENCIA ARTIFICIAL &amp; SALUD</w:t>
      </w:r>
    </w:p>
    <w:p w:rsidR="00000000" w:rsidDel="00000000" w:rsidP="00000000" w:rsidRDefault="00000000" w:rsidRPr="00000000" w14:paraId="00000002">
      <w:pPr>
        <w:pStyle w:val="Heading1"/>
        <w:rPr>
          <w:rFonts w:ascii="Arial" w:cs="Arial" w:eastAsia="Arial" w:hAnsi="Arial"/>
          <w:sz w:val="28"/>
          <w:szCs w:val="28"/>
        </w:rPr>
      </w:pPr>
      <w:bookmarkStart w:colFirst="0" w:colLast="0" w:name="_o613rteshtst" w:id="1"/>
      <w:bookmarkEnd w:id="1"/>
      <w:r w:rsidDel="00000000" w:rsidR="00000000" w:rsidRPr="00000000">
        <w:rPr>
          <w:rFonts w:ascii="Arial" w:cs="Arial" w:eastAsia="Arial" w:hAnsi="Arial"/>
          <w:sz w:val="28"/>
          <w:szCs w:val="28"/>
          <w:rtl w:val="0"/>
        </w:rPr>
        <w:t xml:space="preserve">Clasificación de Patologías Pulmonares en Imágenes Radiológicas Utilizando Redes Neuronales Convolucionales y MLflow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al" w:cs="Arial" w:eastAsia="Arial" w:hAnsi="Arial"/>
          <w:sz w:val="28"/>
          <w:szCs w:val="28"/>
        </w:rPr>
      </w:pPr>
      <w:r w:rsidDel="00000000" w:rsidR="00000000" w:rsidRPr="00000000">
        <w:rPr>
          <w:rFonts w:ascii="Arial" w:cs="Arial" w:eastAsia="Arial" w:hAnsi="Arial"/>
          <w:sz w:val="28"/>
          <w:szCs w:val="28"/>
          <w:rtl w:val="0"/>
        </w:rPr>
        <w:t xml:space="preserve">Sistema AI-XRay • ResNet50 Transfer Learning • FastAPI Microservice</w:t>
      </w:r>
    </w:p>
    <w:p w:rsidR="00000000" w:rsidDel="00000000" w:rsidP="00000000" w:rsidRDefault="00000000" w:rsidRPr="00000000" w14:paraId="00000005">
      <w:pPr>
        <w:spacing w:after="0" w:before="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pStyle w:val="Heading1"/>
        <w:spacing w:line="276" w:lineRule="auto"/>
        <w:rPr>
          <w:rFonts w:ascii="Arial" w:cs="Arial" w:eastAsia="Arial" w:hAnsi="Arial"/>
          <w:color w:val="1e3a8a"/>
          <w:sz w:val="28"/>
          <w:szCs w:val="28"/>
        </w:rPr>
      </w:pPr>
      <w:bookmarkStart w:colFirst="0" w:colLast="0" w:name="_ahidhd7kilrb" w:id="2"/>
      <w:bookmarkEnd w:id="2"/>
      <w:r w:rsidDel="00000000" w:rsidR="00000000" w:rsidRPr="00000000">
        <w:rPr>
          <w:rFonts w:ascii="Arial" w:cs="Arial" w:eastAsia="Arial" w:hAnsi="Arial"/>
          <w:color w:val="1e3a8a"/>
          <w:sz w:val="28"/>
          <w:szCs w:val="28"/>
          <w:rtl w:val="0"/>
        </w:rPr>
        <w:t xml:space="preserve">1. Problema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La clasificación manual de radiografías de tórax pediátricas y de adultos para detectar neumonía depende de la disponibilidad inmediata de un profesional radiólogo calificado, generando cuellos de botella y demoras en contextos de alta demanda o recursos limitados. AI-XRay explora si un clasificador automático basado en Deep Learning puede servir como una segunda lectura de apoyo y triaje, priorizando casos críticos de PNEUMONIA para su revisión oportuna sin sustituir la evaluación médica.</w:t>
      </w:r>
    </w:p>
    <w:p w:rsidR="00000000" w:rsidDel="00000000" w:rsidP="00000000" w:rsidRDefault="00000000" w:rsidRPr="00000000" w14:paraId="0000000A">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spacing w:line="276" w:lineRule="auto"/>
        <w:rPr>
          <w:rFonts w:ascii="Arial" w:cs="Arial" w:eastAsia="Arial" w:hAnsi="Arial"/>
          <w:color w:val="1e3a8a"/>
          <w:sz w:val="28"/>
          <w:szCs w:val="28"/>
        </w:rPr>
      </w:pPr>
      <w:bookmarkStart w:colFirst="0" w:colLast="0" w:name="_fgpsnvxfxr7u" w:id="3"/>
      <w:bookmarkEnd w:id="3"/>
      <w:r w:rsidDel="00000000" w:rsidR="00000000" w:rsidRPr="00000000">
        <w:rPr>
          <w:rFonts w:ascii="Arial" w:cs="Arial" w:eastAsia="Arial" w:hAnsi="Arial"/>
          <w:color w:val="1e3a8a"/>
          <w:sz w:val="28"/>
          <w:szCs w:val="28"/>
          <w:rtl w:val="0"/>
        </w:rPr>
        <w:t xml:space="preserve">2. Datos</w:t>
      </w:r>
    </w:p>
    <w:p w:rsidR="00000000" w:rsidDel="00000000" w:rsidP="00000000" w:rsidRDefault="00000000" w:rsidRPr="00000000" w14:paraId="0000000D">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Pediatric Chest X-ray Pneumonia (Kermany et al., 2018, vía Kaggle), 5,856 imágenes (1,583 NORMAL / 4,273 PNEUMONIA) con un subconjunto estructurado de 2,000 imágenes para entrenamiento y validación. Se detectó fuga de datos a nivel de paciente en el split original por carpetas del dataset (múltiples imágenes del mismo paciente aparecían simultáneamente en train y test); se construyó un split propio 70/15/15 agrupado estrictamente por identificador de paciente para mitigar esta fuga y asegurar una evaluación clínica real.</w:t>
      </w:r>
    </w:p>
    <w:p w:rsidR="00000000" w:rsidDel="00000000" w:rsidP="00000000" w:rsidRDefault="00000000" w:rsidRPr="00000000" w14:paraId="0000000E">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spacing w:line="276" w:lineRule="auto"/>
        <w:rPr>
          <w:rFonts w:ascii="Arial" w:cs="Arial" w:eastAsia="Arial" w:hAnsi="Arial"/>
          <w:color w:val="1e3a8a"/>
          <w:sz w:val="28"/>
          <w:szCs w:val="28"/>
        </w:rPr>
      </w:pPr>
      <w:bookmarkStart w:colFirst="0" w:colLast="0" w:name="_jjc60dzdj8z7" w:id="4"/>
      <w:bookmarkEnd w:id="4"/>
      <w:r w:rsidDel="00000000" w:rsidR="00000000" w:rsidRPr="00000000">
        <w:rPr>
          <w:rFonts w:ascii="Arial" w:cs="Arial" w:eastAsia="Arial" w:hAnsi="Arial"/>
          <w:color w:val="1e3a8a"/>
          <w:sz w:val="28"/>
          <w:szCs w:val="28"/>
          <w:rtl w:val="0"/>
        </w:rPr>
        <w:t xml:space="preserve">3. Arquitectura técnica y justificación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Se descartó entrenar una red convolucional (CNN) desde cero debido al tamaño limitado del dataset (miles, no millones, de imágenes), lo que causaría sobreajuste (overfitting). Se eligió Transfer Learning con ResNet50 preentrenada en ImageNet, entrenada en dos fases (clasificador congelado para extracción de características, y posterior fine-tuning parcial de las capas convolucionales superiores) para adaptar los filtros al dominio de rayos X sin perder los patrones genéricos aprendidos.</w:t>
      </w:r>
    </w:p>
    <w:p w:rsidR="00000000" w:rsidDel="00000000" w:rsidP="00000000" w:rsidRDefault="00000000" w:rsidRPr="00000000" w14:paraId="00000013">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spacing w:line="276" w:lineRule="auto"/>
        <w:rPr>
          <w:rFonts w:ascii="Arial" w:cs="Arial" w:eastAsia="Arial" w:hAnsi="Arial"/>
          <w:color w:val="1e3a8a"/>
          <w:sz w:val="28"/>
          <w:szCs w:val="28"/>
        </w:rPr>
      </w:pPr>
      <w:bookmarkStart w:colFirst="0" w:colLast="0" w:name="_7opdvzpoqhu7" w:id="5"/>
      <w:bookmarkEnd w:id="5"/>
      <w:r w:rsidDel="00000000" w:rsidR="00000000" w:rsidRPr="00000000">
        <w:rPr>
          <w:rFonts w:ascii="Arial" w:cs="Arial" w:eastAsia="Arial" w:hAnsi="Arial"/>
          <w:color w:val="1e3a8a"/>
          <w:sz w:val="28"/>
          <w:szCs w:val="28"/>
          <w:rtl w:val="0"/>
        </w:rPr>
        <w:t xml:space="preserve">4. Modelo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ResNet50 (sin top) + GlobalAveragePooling2D + Dense(256, activation='relu') + Dropout(0.4) + Dense(1, activation='sigmoid'). Optimizador Adam, learning rate de 1e-3 en la fase congelada y 1e-5 en la fase de Fine-Tuning (Run 3), class_weight dinámico para compensar el desbalanceo de clases, y callbacks de EarlyStopping y ReduceLROnPlateau activos.</w:t>
      </w:r>
    </w:p>
    <w:p w:rsidR="00000000" w:rsidDel="00000000" w:rsidP="00000000" w:rsidRDefault="00000000" w:rsidRPr="00000000" w14:paraId="00000018">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spacing w:line="276" w:lineRule="auto"/>
        <w:rPr>
          <w:rFonts w:ascii="Arial" w:cs="Arial" w:eastAsia="Arial" w:hAnsi="Arial"/>
          <w:color w:val="1e3a8a"/>
          <w:sz w:val="28"/>
          <w:szCs w:val="28"/>
        </w:rPr>
      </w:pPr>
      <w:bookmarkStart w:colFirst="0" w:colLast="0" w:name="_ulex9ertmi4t" w:id="6"/>
      <w:bookmarkEnd w:id="6"/>
      <w:r w:rsidDel="00000000" w:rsidR="00000000" w:rsidRPr="00000000">
        <w:rPr>
          <w:rFonts w:ascii="Arial" w:cs="Arial" w:eastAsia="Arial" w:hAnsi="Arial"/>
          <w:color w:val="1e3a8a"/>
          <w:sz w:val="28"/>
          <w:szCs w:val="28"/>
          <w:rtl w:val="0"/>
        </w:rPr>
        <w:t xml:space="preserve">5. Resultados y evidencia</w:t>
      </w:r>
    </w:p>
    <w:p w:rsidR="00000000" w:rsidDel="00000000" w:rsidP="00000000" w:rsidRDefault="00000000" w:rsidRPr="00000000" w14:paraId="0000001B">
      <w:pPr>
        <w:spacing w:line="300" w:lineRule="auto"/>
        <w:rPr>
          <w:rFonts w:ascii="Arial" w:cs="Arial" w:eastAsia="Arial" w:hAnsi="Arial"/>
          <w:sz w:val="28"/>
          <w:szCs w:val="28"/>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250"/>
        <w:gridCol w:w="5250"/>
        <w:tblGridChange w:id="0">
          <w:tblGrid>
            <w:gridCol w:w="5250"/>
            <w:gridCol w:w="5250"/>
          </w:tblGrid>
        </w:tblGridChange>
      </w:tblGrid>
      <w:tr>
        <w:trPr>
          <w:cantSplit w:val="0"/>
          <w:tblHeader w:val="1"/>
        </w:trPr>
        <w:tc>
          <w:tcPr/>
          <w:p w:rsidR="00000000" w:rsidDel="00000000" w:rsidP="00000000" w:rsidRDefault="00000000" w:rsidRPr="00000000" w14:paraId="0000001C">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Métrica</w:t>
            </w:r>
          </w:p>
        </w:tc>
        <w:tc>
          <w:tcPr/>
          <w:p w:rsidR="00000000" w:rsidDel="00000000" w:rsidP="00000000" w:rsidRDefault="00000000" w:rsidRPr="00000000" w14:paraId="0000001D">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Valor (mejor run)</w:t>
            </w:r>
          </w:p>
        </w:tc>
      </w:tr>
      <w:tr>
        <w:trPr>
          <w:cantSplit w:val="0"/>
          <w:tblHeader w:val="0"/>
        </w:trPr>
        <w:tc>
          <w:tcPr/>
          <w:p w:rsidR="00000000" w:rsidDel="00000000" w:rsidP="00000000" w:rsidRDefault="00000000" w:rsidRPr="00000000" w14:paraId="0000001E">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Accuracy</w:t>
            </w:r>
          </w:p>
        </w:tc>
        <w:tc>
          <w:tcPr/>
          <w:p w:rsidR="00000000" w:rsidDel="00000000" w:rsidP="00000000" w:rsidRDefault="00000000" w:rsidRPr="00000000" w14:paraId="0000001F">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0.952</w:t>
            </w:r>
          </w:p>
        </w:tc>
      </w:tr>
      <w:tr>
        <w:trPr>
          <w:cantSplit w:val="0"/>
          <w:tblHeader w:val="0"/>
        </w:trPr>
        <w:tc>
          <w:tcPr/>
          <w:p w:rsidR="00000000" w:rsidDel="00000000" w:rsidP="00000000" w:rsidRDefault="00000000" w:rsidRPr="00000000" w14:paraId="00000020">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Precision</w:t>
            </w:r>
          </w:p>
        </w:tc>
        <w:tc>
          <w:tcPr/>
          <w:p w:rsidR="00000000" w:rsidDel="00000000" w:rsidP="00000000" w:rsidRDefault="00000000" w:rsidRPr="00000000" w14:paraId="00000021">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0.932</w:t>
            </w:r>
          </w:p>
        </w:tc>
      </w:tr>
      <w:tr>
        <w:trPr>
          <w:cantSplit w:val="0"/>
          <w:tblHeader w:val="0"/>
        </w:trPr>
        <w:tc>
          <w:tcPr/>
          <w:p w:rsidR="00000000" w:rsidDel="00000000" w:rsidP="00000000" w:rsidRDefault="00000000" w:rsidRPr="00000000" w14:paraId="00000022">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Recall</w:t>
            </w:r>
          </w:p>
        </w:tc>
        <w:tc>
          <w:tcPr/>
          <w:p w:rsidR="00000000" w:rsidDel="00000000" w:rsidP="00000000" w:rsidRDefault="00000000" w:rsidRPr="00000000" w14:paraId="00000023">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0.965</w:t>
            </w:r>
          </w:p>
        </w:tc>
      </w:tr>
      <w:tr>
        <w:trPr>
          <w:cantSplit w:val="0"/>
          <w:tblHeader w:val="0"/>
        </w:trPr>
        <w:tc>
          <w:tcPr/>
          <w:p w:rsidR="00000000" w:rsidDel="00000000" w:rsidP="00000000" w:rsidRDefault="00000000" w:rsidRPr="00000000" w14:paraId="00000024">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F1-score</w:t>
            </w:r>
          </w:p>
        </w:tc>
        <w:tc>
          <w:tcPr/>
          <w:p w:rsidR="00000000" w:rsidDel="00000000" w:rsidP="00000000" w:rsidRDefault="00000000" w:rsidRPr="00000000" w14:paraId="00000025">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0.948</w:t>
            </w:r>
          </w:p>
        </w:tc>
      </w:tr>
      <w:tr>
        <w:trPr>
          <w:cantSplit w:val="0"/>
          <w:tblHeader w:val="0"/>
        </w:trPr>
        <w:tc>
          <w:tcPr/>
          <w:p w:rsidR="00000000" w:rsidDel="00000000" w:rsidP="00000000" w:rsidRDefault="00000000" w:rsidRPr="00000000" w14:paraId="00000026">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ROC-AUC</w:t>
            </w:r>
          </w:p>
        </w:tc>
        <w:tc>
          <w:tcPr/>
          <w:p w:rsidR="00000000" w:rsidDel="00000000" w:rsidP="00000000" w:rsidRDefault="00000000" w:rsidRPr="00000000" w14:paraId="00000027">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0.982</w:t>
            </w:r>
          </w:p>
        </w:tc>
      </w:tr>
    </w:tbl>
    <w:p w:rsidR="00000000" w:rsidDel="00000000" w:rsidP="00000000" w:rsidRDefault="00000000" w:rsidRPr="00000000" w14:paraId="00000028">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spacing w:line="276" w:lineRule="auto"/>
        <w:rPr>
          <w:rFonts w:ascii="Arial" w:cs="Arial" w:eastAsia="Arial" w:hAnsi="Arial"/>
          <w:color w:val="1e3a8a"/>
          <w:sz w:val="28"/>
          <w:szCs w:val="28"/>
        </w:rPr>
      </w:pPr>
      <w:bookmarkStart w:colFirst="0" w:colLast="0" w:name="_x49gy9k3cp5d" w:id="7"/>
      <w:bookmarkEnd w:id="7"/>
      <w:r w:rsidDel="00000000" w:rsidR="00000000" w:rsidRPr="00000000">
        <w:rPr>
          <w:rFonts w:ascii="Arial" w:cs="Arial" w:eastAsia="Arial" w:hAnsi="Arial"/>
          <w:color w:val="1e3a8a"/>
          <w:sz w:val="28"/>
          <w:szCs w:val="28"/>
          <w:rtl w:val="0"/>
        </w:rPr>
        <w:t xml:space="preserve">6. Experimentos</w:t>
      </w:r>
    </w:p>
    <w:p w:rsidR="00000000" w:rsidDel="00000000" w:rsidP="00000000" w:rsidRDefault="00000000" w:rsidRPr="00000000" w14:paraId="0000002A">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Comparación de las variantes entrenadas — la evidencia detrás de la elección del mejor modelo registrada en MLflow:</w:t>
      </w:r>
    </w:p>
    <w:p w:rsidR="00000000" w:rsidDel="00000000" w:rsidP="00000000" w:rsidRDefault="00000000" w:rsidRPr="00000000" w14:paraId="0000002B">
      <w:pPr>
        <w:spacing w:line="300" w:lineRule="auto"/>
        <w:rPr>
          <w:rFonts w:ascii="Arial" w:cs="Arial" w:eastAsia="Arial" w:hAnsi="Arial"/>
          <w:sz w:val="28"/>
          <w:szCs w:val="28"/>
        </w:rPr>
      </w:pPr>
      <w:r w:rsidDel="00000000" w:rsidR="00000000" w:rsidRPr="00000000">
        <w:rPr>
          <w:rtl w:val="0"/>
        </w:rPr>
      </w:r>
    </w:p>
    <w:tbl>
      <w:tblPr>
        <w:tblStyle w:val="Table2"/>
        <w:tblW w:w="10625.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600"/>
        <w:gridCol w:w="3315"/>
        <w:gridCol w:w="1530"/>
        <w:gridCol w:w="1080"/>
        <w:gridCol w:w="1500"/>
        <w:gridCol w:w="1600"/>
        <w:tblGridChange w:id="0">
          <w:tblGrid>
            <w:gridCol w:w="1600"/>
            <w:gridCol w:w="3315"/>
            <w:gridCol w:w="1530"/>
            <w:gridCol w:w="1080"/>
            <w:gridCol w:w="1500"/>
            <w:gridCol w:w="1600"/>
          </w:tblGrid>
        </w:tblGridChange>
      </w:tblGrid>
      <w:tr>
        <w:trPr>
          <w:cantSplit w:val="0"/>
          <w:tblHeader w:val="1"/>
        </w:trPr>
        <w:tc>
          <w:tcPr/>
          <w:p w:rsidR="00000000" w:rsidDel="00000000" w:rsidP="00000000" w:rsidRDefault="00000000" w:rsidRPr="00000000" w14:paraId="0000002C">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Run</w:t>
            </w:r>
          </w:p>
        </w:tc>
        <w:tc>
          <w:tcPr/>
          <w:p w:rsidR="00000000" w:rsidDel="00000000" w:rsidP="00000000" w:rsidRDefault="00000000" w:rsidRPr="00000000" w14:paraId="0000002D">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Arquitectura</w:t>
            </w:r>
          </w:p>
        </w:tc>
        <w:tc>
          <w:tcPr/>
          <w:p w:rsidR="00000000" w:rsidDel="00000000" w:rsidP="00000000" w:rsidRDefault="00000000" w:rsidRPr="00000000" w14:paraId="0000002E">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Learning rate</w:t>
            </w:r>
          </w:p>
        </w:tc>
        <w:tc>
          <w:tcPr/>
          <w:p w:rsidR="00000000" w:rsidDel="00000000" w:rsidP="00000000" w:rsidRDefault="00000000" w:rsidRPr="00000000" w14:paraId="0000002F">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Dropout</w:t>
            </w:r>
          </w:p>
        </w:tc>
        <w:tc>
          <w:tcPr/>
          <w:p w:rsidR="00000000" w:rsidDel="00000000" w:rsidP="00000000" w:rsidRDefault="00000000" w:rsidRPr="00000000" w14:paraId="00000030">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F1-score</w:t>
            </w:r>
          </w:p>
        </w:tc>
        <w:tc>
          <w:tcPr/>
          <w:p w:rsidR="00000000" w:rsidDel="00000000" w:rsidP="00000000" w:rsidRDefault="00000000" w:rsidRPr="00000000" w14:paraId="00000031">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AUC</w:t>
            </w:r>
          </w:p>
        </w:tc>
      </w:tr>
      <w:tr>
        <w:trPr>
          <w:cantSplit w:val="0"/>
          <w:tblHeader w:val="0"/>
        </w:trPr>
        <w:tc>
          <w:tcPr/>
          <w:p w:rsidR="00000000" w:rsidDel="00000000" w:rsidP="00000000" w:rsidRDefault="00000000" w:rsidRPr="00000000" w14:paraId="00000032">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w:t>
            </w:r>
          </w:p>
        </w:tc>
        <w:tc>
          <w:tcPr/>
          <w:p w:rsidR="00000000" w:rsidDel="00000000" w:rsidP="00000000" w:rsidRDefault="00000000" w:rsidRPr="00000000" w14:paraId="00000033">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ResNet50 congelado (Baseline)</w:t>
            </w:r>
          </w:p>
        </w:tc>
        <w:tc>
          <w:tcPr/>
          <w:p w:rsidR="00000000" w:rsidDel="00000000" w:rsidP="00000000" w:rsidRDefault="00000000" w:rsidRPr="00000000" w14:paraId="00000034">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0.001</w:t>
            </w:r>
          </w:p>
        </w:tc>
        <w:tc>
          <w:tcPr/>
          <w:p w:rsidR="00000000" w:rsidDel="00000000" w:rsidP="00000000" w:rsidRDefault="00000000" w:rsidRPr="00000000" w14:paraId="00000035">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0.4</w:t>
            </w:r>
          </w:p>
        </w:tc>
        <w:tc>
          <w:tcPr/>
          <w:p w:rsidR="00000000" w:rsidDel="00000000" w:rsidP="00000000" w:rsidRDefault="00000000" w:rsidRPr="00000000" w14:paraId="00000036">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0.898</w:t>
            </w:r>
          </w:p>
        </w:tc>
        <w:tc>
          <w:tcPr/>
          <w:p w:rsidR="00000000" w:rsidDel="00000000" w:rsidP="00000000" w:rsidRDefault="00000000" w:rsidRPr="00000000" w14:paraId="00000037">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0.941</w:t>
            </w:r>
          </w:p>
        </w:tc>
      </w:tr>
      <w:tr>
        <w:trPr>
          <w:cantSplit w:val="0"/>
          <w:tblHeader w:val="0"/>
        </w:trPr>
        <w:tc>
          <w:tcPr/>
          <w:p w:rsidR="00000000" w:rsidDel="00000000" w:rsidP="00000000" w:rsidRDefault="00000000" w:rsidRPr="00000000" w14:paraId="00000038">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2</w:t>
            </w:r>
          </w:p>
        </w:tc>
        <w:tc>
          <w:tcPr/>
          <w:p w:rsidR="00000000" w:rsidDel="00000000" w:rsidP="00000000" w:rsidRDefault="00000000" w:rsidRPr="00000000" w14:paraId="00000039">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ResNet50 congelado + Class Weights</w:t>
            </w:r>
          </w:p>
        </w:tc>
        <w:tc>
          <w:tcPr/>
          <w:p w:rsidR="00000000" w:rsidDel="00000000" w:rsidP="00000000" w:rsidRDefault="00000000" w:rsidRPr="00000000" w14:paraId="0000003A">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0.001</w:t>
            </w:r>
          </w:p>
        </w:tc>
        <w:tc>
          <w:tcPr/>
          <w:p w:rsidR="00000000" w:rsidDel="00000000" w:rsidP="00000000" w:rsidRDefault="00000000" w:rsidRPr="00000000" w14:paraId="0000003B">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0.4</w:t>
            </w:r>
          </w:p>
        </w:tc>
        <w:tc>
          <w:tcPr/>
          <w:p w:rsidR="00000000" w:rsidDel="00000000" w:rsidP="00000000" w:rsidRDefault="00000000" w:rsidRPr="00000000" w14:paraId="0000003C">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0.914</w:t>
            </w:r>
          </w:p>
        </w:tc>
        <w:tc>
          <w:tcPr/>
          <w:p w:rsidR="00000000" w:rsidDel="00000000" w:rsidP="00000000" w:rsidRDefault="00000000" w:rsidRPr="00000000" w14:paraId="0000003D">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0.958</w:t>
            </w:r>
          </w:p>
        </w:tc>
      </w:tr>
      <w:tr>
        <w:trPr>
          <w:cantSplit w:val="0"/>
          <w:tblHeader w:val="0"/>
        </w:trPr>
        <w:tc>
          <w:tcPr/>
          <w:p w:rsidR="00000000" w:rsidDel="00000000" w:rsidP="00000000" w:rsidRDefault="00000000" w:rsidRPr="00000000" w14:paraId="0000003E">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3</w:t>
            </w:r>
          </w:p>
        </w:tc>
        <w:tc>
          <w:tcPr/>
          <w:p w:rsidR="00000000" w:rsidDel="00000000" w:rsidP="00000000" w:rsidRDefault="00000000" w:rsidRPr="00000000" w14:paraId="0000003F">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ResNet50 + Fine-tuning (Unfrozen)</w:t>
            </w:r>
          </w:p>
        </w:tc>
        <w:tc>
          <w:tcPr/>
          <w:p w:rsidR="00000000" w:rsidDel="00000000" w:rsidP="00000000" w:rsidRDefault="00000000" w:rsidRPr="00000000" w14:paraId="00000040">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0.00001</w:t>
            </w:r>
          </w:p>
        </w:tc>
        <w:tc>
          <w:tcPr/>
          <w:p w:rsidR="00000000" w:rsidDel="00000000" w:rsidP="00000000" w:rsidRDefault="00000000" w:rsidRPr="00000000" w14:paraId="00000041">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0.4</w:t>
            </w:r>
          </w:p>
        </w:tc>
        <w:tc>
          <w:tcPr/>
          <w:p w:rsidR="00000000" w:rsidDel="00000000" w:rsidP="00000000" w:rsidRDefault="00000000" w:rsidRPr="00000000" w14:paraId="00000042">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0.948</w:t>
            </w:r>
          </w:p>
        </w:tc>
        <w:tc>
          <w:tcPr/>
          <w:p w:rsidR="00000000" w:rsidDel="00000000" w:rsidP="00000000" w:rsidRDefault="00000000" w:rsidRPr="00000000" w14:paraId="00000043">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0.982</w:t>
            </w:r>
          </w:p>
        </w:tc>
      </w:tr>
    </w:tbl>
    <w:p w:rsidR="00000000" w:rsidDel="00000000" w:rsidP="00000000" w:rsidRDefault="00000000" w:rsidRPr="00000000" w14:paraId="00000044">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spacing w:line="276" w:lineRule="auto"/>
        <w:rPr>
          <w:rFonts w:ascii="Arial" w:cs="Arial" w:eastAsia="Arial" w:hAnsi="Arial"/>
          <w:color w:val="1e3a8a"/>
          <w:sz w:val="28"/>
          <w:szCs w:val="28"/>
        </w:rPr>
      </w:pPr>
      <w:bookmarkStart w:colFirst="0" w:colLast="0" w:name="_x49gy9k3cp5d" w:id="7"/>
      <w:bookmarkEnd w:id="7"/>
      <w:r w:rsidDel="00000000" w:rsidR="00000000" w:rsidRPr="00000000">
        <w:rPr>
          <w:rFonts w:ascii="Arial" w:cs="Arial" w:eastAsia="Arial" w:hAnsi="Arial"/>
          <w:color w:val="1e3a8a"/>
          <w:sz w:val="28"/>
          <w:szCs w:val="28"/>
          <w:rtl w:val="0"/>
        </w:rPr>
        <w:t xml:space="preserve">7. Mejor modelo</w:t>
      </w:r>
    </w:p>
    <w:p w:rsidR="00000000" w:rsidDel="00000000" w:rsidP="00000000" w:rsidRDefault="00000000" w:rsidRPr="00000000" w14:paraId="00000046">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Se seleccionó el Run 3 (ResNet50 + Fine-tuning), registrado como 'aixray_pneumonia_classifier' versión 1 y promovido al estado 'Staging' en el Model Registry de MLflow. Se eligió esta variante porque obtuvo la mayor sensibilidad/recall (96.5%) y ROC-AUC (0.982) del conjunto de pruebas. </w:t>
      </w:r>
    </w:p>
    <w:p w:rsidR="00000000" w:rsidDel="00000000" w:rsidP="00000000" w:rsidRDefault="00000000" w:rsidRPr="00000000" w14:paraId="00000047">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En el contexto de triaje clínico de urgencias, el costo de un falso negativo (enviar a casa a un paciente enfermo) es crítico, por lo que maximizar el Recall sobre la clase PNEUMONIA fue el factor determinante sobre las variantes congeladas.</w:t>
      </w:r>
    </w:p>
    <w:p w:rsidR="00000000" w:rsidDel="00000000" w:rsidP="00000000" w:rsidRDefault="00000000" w:rsidRPr="00000000" w14:paraId="00000049">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spacing w:line="276" w:lineRule="auto"/>
        <w:rPr>
          <w:rFonts w:ascii="Arial" w:cs="Arial" w:eastAsia="Arial" w:hAnsi="Arial"/>
          <w:color w:val="1e3a8a"/>
          <w:sz w:val="28"/>
          <w:szCs w:val="28"/>
        </w:rPr>
      </w:pPr>
      <w:bookmarkStart w:colFirst="0" w:colLast="0" w:name="_st9hkblq7u0p" w:id="8"/>
      <w:bookmarkEnd w:id="8"/>
      <w:r w:rsidDel="00000000" w:rsidR="00000000" w:rsidRPr="00000000">
        <w:rPr>
          <w:rFonts w:ascii="Arial" w:cs="Arial" w:eastAsia="Arial" w:hAnsi="Arial"/>
          <w:color w:val="1e3a8a"/>
          <w:sz w:val="28"/>
          <w:szCs w:val="28"/>
          <w:rtl w:val="0"/>
        </w:rPr>
        <w:t xml:space="preserve">8. Arquitectura de producción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El modelo se sirve con una API REST en FastAPI (POST /predict, GET /health), ejecutada directamente con uvicorn — sin frontend. Soporta fuente dual de carga (archivo local models/aixray_model.keras o MLflow Model Registry vía AIXRAY_MODEL_SOURCE=mlflow).</w:t>
      </w:r>
    </w:p>
    <w:p w:rsidR="00000000" w:rsidDel="00000000" w:rsidP="00000000" w:rsidRDefault="00000000" w:rsidRPr="00000000" w14:paraId="0000004D">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Para producción real faltaría: empaquetarla en un contenedor Docker para desplegarla de forma reproducible (Databricks Model Serving o Kubernetes), autenticación en la API, monitoreo de deriva del modelo (data drift / concept drift), y un pipeline de reentrenamiento periódico en Unity Catalog y Delta Lake (Fase 2).</w:t>
      </w:r>
    </w:p>
    <w:p w:rsidR="00000000" w:rsidDel="00000000" w:rsidP="00000000" w:rsidRDefault="00000000" w:rsidRPr="00000000" w14:paraId="0000004F">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spacing w:line="276" w:lineRule="auto"/>
        <w:rPr>
          <w:rFonts w:ascii="Arial" w:cs="Arial" w:eastAsia="Arial" w:hAnsi="Arial"/>
          <w:color w:val="1e3a8a"/>
          <w:sz w:val="28"/>
          <w:szCs w:val="28"/>
        </w:rPr>
      </w:pPr>
      <w:bookmarkStart w:colFirst="0" w:colLast="0" w:name="_tb6fl1mb8j8h" w:id="9"/>
      <w:bookmarkEnd w:id="9"/>
      <w:r w:rsidDel="00000000" w:rsidR="00000000" w:rsidRPr="00000000">
        <w:rPr>
          <w:rFonts w:ascii="Arial" w:cs="Arial" w:eastAsia="Arial" w:hAnsi="Arial"/>
          <w:color w:val="1e3a8a"/>
          <w:sz w:val="28"/>
          <w:szCs w:val="28"/>
          <w:rtl w:val="0"/>
        </w:rPr>
        <w:t xml:space="preserve">9. Limitaciones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(1) El agrupamiento por paciente para evitar la fuga de datos requiere un identificador de paciente confiable en los nombres de archivo o metadatos.</w:t>
      </w:r>
    </w:p>
    <w:p w:rsidR="00000000" w:rsidDel="00000000" w:rsidP="00000000" w:rsidRDefault="00000000" w:rsidRPr="00000000" w14:paraId="00000053">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4">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(2) El dataset proviene de un solo centro médico (Guangzhou Women and Children's Medical Center) compuesto principalmente por una cohorte pediátrica, por lo que el modelo podría no generalizar a equipos de rayos X o poblaciones adultas/geriátricas distintas sin una validación previa.</w:t>
      </w:r>
    </w:p>
    <w:p w:rsidR="00000000" w:rsidDel="00000000" w:rsidP="00000000" w:rsidRDefault="00000000" w:rsidRPr="00000000" w14:paraId="00000055">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(3) Este sistema es un proyecto académico de inteligencia artificial y no constituye un diagnóstico médico ni sustituye la evaluación de un profesional de la salud.</w:t>
      </w:r>
    </w:p>
    <w:p w:rsidR="00000000" w:rsidDel="00000000" w:rsidP="00000000" w:rsidRDefault="00000000" w:rsidRPr="00000000" w14:paraId="00000057">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spacing w:line="276" w:lineRule="auto"/>
        <w:rPr>
          <w:rFonts w:ascii="Arial" w:cs="Arial" w:eastAsia="Arial" w:hAnsi="Arial"/>
          <w:color w:val="1e3a8a"/>
          <w:sz w:val="28"/>
          <w:szCs w:val="28"/>
        </w:rPr>
      </w:pPr>
      <w:bookmarkStart w:colFirst="0" w:colLast="0" w:name="_pn2au5nqm0nc" w:id="10"/>
      <w:bookmarkEnd w:id="10"/>
      <w:r w:rsidDel="00000000" w:rsidR="00000000" w:rsidRPr="00000000">
        <w:rPr>
          <w:rFonts w:ascii="Arial" w:cs="Arial" w:eastAsia="Arial" w:hAnsi="Arial"/>
          <w:color w:val="1e3a8a"/>
          <w:sz w:val="28"/>
          <w:szCs w:val="28"/>
          <w:rtl w:val="0"/>
        </w:rPr>
        <w:t xml:space="preserve">10. Impacto potencial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Como herramienta de apoyo a la priorización (no de diagnóstico), un clasificador con este nivel de recall (96.5%) podría ayudar a priorizar qué radiografías revisar primero en un contexto de alto volumen y personal médico limitado, moviendo al inicio de la cola los casos sospechosos de neumonía. </w:t>
      </w:r>
    </w:p>
    <w:p w:rsidR="00000000" w:rsidDel="00000000" w:rsidP="00000000" w:rsidRDefault="00000000" w:rsidRPr="00000000" w14:paraId="0000005B">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C">
      <w:pPr>
        <w:spacing w:line="3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En clínicas de atención primaria o zonas remotas, funciona como una segunda lectura de apoyo para médicos generales — el impacto real sólo podría cuantificarse con una validación clínica formal, fuera del alcance de este proyecto académico.</w:t>
      </w:r>
    </w:p>
    <w:p w:rsidR="00000000" w:rsidDel="00000000" w:rsidP="00000000" w:rsidRDefault="00000000" w:rsidRPr="00000000" w14:paraId="0000005D">
      <w:pPr>
        <w:spacing w:line="30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lin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rPr>
          <w:rFonts w:ascii="Arial" w:cs="Arial" w:eastAsia="Arial" w:hAnsi="Arial"/>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1"/>
        <w:szCs w:val="21"/>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26"/>
      <w:szCs w:val="2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0369a1"/>
      <w:sz w:val="22"/>
      <w:szCs w:val="22"/>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0284c7"/>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