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00" w:before="300" w:lineRule="auto"/>
        <w:rPr>
          <w:b w:val="1"/>
          <w:color w:val="3f3f3f"/>
          <w:sz w:val="36"/>
          <w:szCs w:val="36"/>
        </w:rPr>
      </w:pPr>
      <w:bookmarkStart w:colFirst="0" w:colLast="0" w:name="_qwfpi0h7xvg5" w:id="0"/>
      <w:bookmarkEnd w:id="0"/>
      <w:r w:rsidDel="00000000" w:rsidR="00000000" w:rsidRPr="00000000">
        <w:rPr>
          <w:b w:val="1"/>
          <w:color w:val="3f3f3f"/>
          <w:sz w:val="36"/>
          <w:szCs w:val="36"/>
          <w:rtl w:val="0"/>
        </w:rPr>
        <w:t xml:space="preserve">VENTILADOR DE TRANSPORTE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Categorías: TRANSPORTE Y EMERGENCIAS, PEDIÁTRICO, NEONATAL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f3f3f"/>
          <w:sz w:val="24"/>
          <w:szCs w:val="24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Características técnicas del ventilador mecánico de transporte OXYMAG:</w:t>
      </w:r>
    </w:p>
    <w:p w:rsidR="00000000" w:rsidDel="00000000" w:rsidP="00000000" w:rsidRDefault="00000000" w:rsidRPr="00000000" w14:paraId="00000005">
      <w:pPr>
        <w:rPr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Puede ser utilizado con la interfaz no invasiva o tubo endotraqueal.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Flujo máximo: 180 L/min.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Volumen corriente: 10 a 2500 mL.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Frecuencia respiratoria: 0 a 150 min-1.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Tiempo de subida (rise time): 0 a 2,0 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Presión límite máxima: 0 a 60 cmH2O.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Presión inspiratoria: 1 a 60 cmH2O.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PS – Presión de soporte: OFF; 5 a 60 cmH2O.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PEEP: 0 a 40 cmH2O.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Ciclado por flujo en presión de soporte: 5 a 80%.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Concentración de O2: 35 a 100% - (21 a 100% con utilización de Blender Externo).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Tiempo inspiratorio: 0,1 a 10 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Forma de onda de flujo inspiratorio: Cuadrada, descendiente o desacelerada, ascendente o acelerada, sinusoidal o senoide.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CPAP: 1 a 40 cmH2O.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f3f3f"/>
          <w:sz w:val="24"/>
          <w:szCs w:val="24"/>
          <w:rtl w:val="0"/>
        </w:rPr>
        <w:t xml:space="preserve">Ajuste automático de los parámetros conforme el tipo de paciente.</w:t>
      </w:r>
    </w:p>
    <w:p w:rsidR="00000000" w:rsidDel="00000000" w:rsidP="00000000" w:rsidRDefault="00000000" w:rsidRPr="00000000" w14:paraId="00000015">
      <w:pPr>
        <w:rPr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f3f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