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sz w:val="18"/>
          <w:szCs w:val="18"/>
          <w:highlight w:val="none"/>
          <w:lang w:val="nl-BE"/>
        </w:rPr>
      </w:pPr>
      <w:r>
        <w:rPr>
          <w:rStyle w:val="841"/>
          <w:sz w:val="32"/>
          <w:szCs w:val="32"/>
          <w:lang w:val="nl-BE"/>
        </w:rPr>
        <w:t xml:space="preserve">ONE pager</w:t>
      </w:r>
      <w:r>
        <w:rPr>
          <w:sz w:val="18"/>
          <w:szCs w:val="18"/>
          <w:lang w:val="nl-BE"/>
        </w:rPr>
        <w:t xml:space="preserve"> </w:t>
      </w:r>
      <w:r>
        <w:rPr>
          <w:sz w:val="18"/>
          <w:szCs w:val="18"/>
          <w:lang w:val="nl-BE" w:bidi="nl-BE"/>
        </w:rPr>
      </w:r>
      <w:r>
        <w:rPr>
          <w:sz w:val="18"/>
          <w:szCs w:val="18"/>
          <w:highlight w:val="none"/>
          <w:lang w:val="nl-BE"/>
        </w:rPr>
      </w:r>
    </w:p>
    <w:p w14:paraId="03898BD7">
      <w:pPr>
        <w:pStyle w:val="852"/>
        <w:pBdr/>
        <w:spacing/>
        <w:ind/>
        <w:jc w:val="both"/>
        <w:rPr>
          <w:sz w:val="22"/>
          <w:szCs w:val="22"/>
          <w:highlight w:val="none"/>
          <w:lang w:val="nl-BE"/>
        </w:rPr>
      </w:pPr>
      <w:r>
        <w:rPr>
          <w:sz w:val="22"/>
          <w:szCs w:val="22"/>
          <w:lang w:val="nl-BE" w:bidi="nl-BE"/>
        </w:rPr>
      </w:r>
      <w:r>
        <w:rPr>
          <w:sz w:val="22"/>
          <w:szCs w:val="22"/>
          <w:lang w:val="nl-BE"/>
        </w:rPr>
        <w:t xml:space="preserve">Moons Ruben (</w:t>
      </w:r>
      <w:r>
        <w:rPr>
          <w:rFonts w:ascii="Times New Roman" w:hAnsi="Times New Roman" w:eastAsia="Times New Roman" w:cs="Times New Roman"/>
          <w:b/>
          <w:color w:val="191970"/>
          <w:sz w:val="20"/>
          <w:szCs w:val="22"/>
          <w:lang w:val="nl-BE"/>
        </w:rPr>
        <w:t xml:space="preserve">IAO3</w:t>
      </w:r>
      <w:r>
        <w:rPr>
          <w:sz w:val="22"/>
          <w:szCs w:val="22"/>
          <w:lang w:val="nl-BE"/>
        </w:rPr>
        <w:t xml:space="preserve">)</w:t>
      </w:r>
      <w:r>
        <w:rPr>
          <w:sz w:val="22"/>
          <w:szCs w:val="22"/>
          <w:lang w:val="nl-BE" w:bidi="nl-BE"/>
        </w:rPr>
      </w:r>
      <w:r>
        <w:rPr>
          <w:sz w:val="22"/>
          <w:szCs w:val="22"/>
          <w:highlight w:val="none"/>
          <w:lang w:val="nl-BE"/>
        </w:rPr>
      </w:r>
    </w:p>
    <w:p w14:paraId="560D4E0E"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highlight w:val="none"/>
          <w:lang w:val="nl-BE" w:bidi="nl-BE"/>
        </w:rPr>
      </w:r>
      <w:r>
        <w:rPr>
          <w:sz w:val="18"/>
          <w:szCs w:val="18"/>
          <w:highlight w:val="none"/>
          <w:lang w:val="nl-BE" w:bidi="nl-BE"/>
        </w:rPr>
      </w:r>
      <w:r>
        <w:rPr>
          <w:sz w:val="18"/>
          <w:szCs w:val="18"/>
          <w:lang w:val="nl-BE"/>
        </w:rPr>
      </w:r>
    </w:p>
    <w:p w14:paraId="21DBD2C8">
      <w:pPr>
        <w:pBdr/>
        <w:spacing w:after="0" w:afterAutospacing="0" w:before="0" w:beforeAutospacing="0"/>
        <w:ind/>
        <w:jc w:val="both"/>
        <w:rPr>
          <w:sz w:val="18"/>
          <w:szCs w:val="18"/>
          <w:highlight w:val="none"/>
          <w:lang w:val="nl-BE"/>
        </w:rPr>
      </w:pPr>
      <w:r>
        <w:rPr>
          <w:sz w:val="18"/>
          <w:szCs w:val="18"/>
          <w:lang w:val="nl-BE" w:bidi="nl-BE"/>
        </w:rPr>
      </w:r>
      <w:r>
        <w:rPr>
          <w:sz w:val="18"/>
          <w:szCs w:val="18"/>
          <w:lang w:val="nl-BE"/>
        </w:rPr>
        <w:t xml:space="preserve">Subject: “</w:t>
      </w:r>
      <w:r>
        <w:rPr>
          <w:rFonts w:ascii="Arial" w:hAnsi="Arial" w:eastAsia="Arial" w:cs="Arial"/>
          <w:color w:val="000000"/>
          <w:sz w:val="18"/>
          <w:szCs w:val="18"/>
          <w:u w:val="none"/>
          <w:lang w:val="nl-BE"/>
        </w:rPr>
        <w:t xml:space="preserve">Hoe zou jij Spring ApplicationEvents gebruiken om de architectuur van je applicatie te verbeteren? Welke voordelen zou dit bieden? Zijn er ook nadelen?</w:t>
      </w:r>
      <w:r>
        <w:rPr>
          <w:sz w:val="18"/>
          <w:szCs w:val="18"/>
          <w:lang w:val="nl-BE"/>
        </w:rPr>
        <w:t xml:space="preserve">”</w:t>
      </w:r>
      <w:r>
        <w:rPr>
          <w:sz w:val="18"/>
          <w:szCs w:val="18"/>
          <w:lang w:val="nl-BE" w:bidi="nl-BE"/>
        </w:rPr>
      </w:r>
      <w:r>
        <w:rPr>
          <w:sz w:val="18"/>
          <w:szCs w:val="18"/>
          <w:highlight w:val="none"/>
          <w:lang w:val="nl-BE"/>
        </w:rPr>
      </w:r>
    </w:p>
    <w:p w14:paraId="75B89F0B"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 w:bidi="nl-BE"/>
        </w:rPr>
      </w:r>
      <w:r>
        <w:rPr>
          <w:sz w:val="18"/>
          <w:szCs w:val="18"/>
          <w:lang w:val="nl-BE" w:bidi="nl-BE"/>
        </w:rPr>
      </w:r>
      <w:r>
        <w:rPr>
          <w:sz w:val="18"/>
          <w:szCs w:val="18"/>
          <w:lang w:val="nl-BE"/>
        </w:rPr>
      </w:r>
    </w:p>
    <w:p>
      <w:pPr>
        <w:pStyle w:val="832"/>
        <w:pBdr/>
        <w:spacing/>
        <w:ind/>
        <w:jc w:val="both"/>
        <w:rPr>
          <w:sz w:val="24"/>
          <w:szCs w:val="24"/>
          <w:lang w:val="nl-BE"/>
        </w:rPr>
      </w:pPr>
      <w:r>
        <w:rPr>
          <w:sz w:val="24"/>
          <w:szCs w:val="24"/>
          <w:lang w:val="nl-BE"/>
        </w:rPr>
        <w:t xml:space="preserve">Huidige situatie</w:t>
      </w:r>
      <w:r>
        <w:rPr>
          <w:sz w:val="24"/>
          <w:szCs w:val="24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Keep Dishes Going is opgebouwd uit drie microservices: restaurant-service, order-service en delivery-service. Onderling praten ze via HTTP voor queries en validaties, en via RabbitMQ voor de order-levenscyclus: van OrderPlaced tot OrderDelivered.</w:t>
      </w:r>
      <w:r>
        <w:rPr>
          <w:sz w:val="18"/>
          <w:szCs w:val="18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A</w:t>
      </w:r>
      <w:r>
        <w:rPr>
          <w:sz w:val="18"/>
          <w:szCs w:val="18"/>
          <w:lang w:val="nl-BE"/>
        </w:rPr>
        <w:t xml:space="preserve">lleen de delivery-service </w:t>
      </w:r>
      <w:r>
        <w:rPr>
          <w:sz w:val="18"/>
          <w:szCs w:val="18"/>
          <w:lang w:val="nl-BE"/>
        </w:rPr>
        <w:t xml:space="preserve">gebruikt </w:t>
      </w:r>
      <w:r>
        <w:rPr>
          <w:sz w:val="18"/>
          <w:szCs w:val="18"/>
          <w:lang w:val="nl-BE"/>
        </w:rPr>
        <w:t xml:space="preserve">Spring ApplicationEvents al</w:t>
      </w:r>
      <w:r>
        <w:rPr>
          <w:sz w:val="18"/>
          <w:szCs w:val="18"/>
          <w:lang w:val="nl-BE"/>
        </w:rPr>
        <w:t xml:space="preserve">. </w:t>
      </w:r>
      <w:r>
        <w:rPr>
          <w:sz w:val="18"/>
          <w:szCs w:val="18"/>
          <w:lang w:val="nl-BE"/>
        </w:rPr>
        <w:t xml:space="preserve">InternalEvents met @TransactionalEventListener in DriverAssignmentListener. De andere twee services </w:t>
      </w:r>
      <w:r>
        <w:rPr>
          <w:sz w:val="18"/>
          <w:szCs w:val="18"/>
          <w:lang w:val="nl-BE"/>
        </w:rPr>
        <w:t xml:space="preserve">gebruiken</w:t>
      </w:r>
      <w:r>
        <w:rPr>
          <w:sz w:val="18"/>
          <w:szCs w:val="18"/>
          <w:lang w:val="nl-BE"/>
        </w:rPr>
        <w:t xml:space="preserve"> </w:t>
      </w:r>
      <w:r>
        <w:rPr>
          <w:sz w:val="18"/>
          <w:szCs w:val="18"/>
          <w:lang w:val="nl-BE"/>
        </w:rPr>
        <w:t xml:space="preserve">het patroon nog niet.</w:t>
      </w:r>
      <w:r>
        <w:rPr>
          <w:sz w:val="18"/>
          <w:szCs w:val="18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 w:bidi="nl-BE"/>
        </w:rPr>
      </w:r>
      <w:r>
        <w:rPr>
          <w:sz w:val="18"/>
          <w:szCs w:val="18"/>
          <w:lang w:val="nl-BE"/>
        </w:rPr>
      </w:r>
    </w:p>
    <w:p>
      <w:pPr>
        <w:pStyle w:val="832"/>
        <w:pBdr/>
        <w:spacing/>
        <w:ind/>
        <w:jc w:val="both"/>
        <w:rPr>
          <w:sz w:val="24"/>
          <w:szCs w:val="24"/>
          <w:lang w:val="nl-BE"/>
        </w:rPr>
      </w:pPr>
      <w:r>
        <w:rPr>
          <w:sz w:val="24"/>
          <w:szCs w:val="24"/>
          <w:lang w:val="nl-BE"/>
        </w:rPr>
        <w:t xml:space="preserve">Hoe Spring ApplicationEvents de architectuur verbeteren</w:t>
      </w:r>
      <w:r>
        <w:rPr>
          <w:sz w:val="24"/>
          <w:szCs w:val="24"/>
          <w:lang w:val="nl-BE"/>
        </w:rPr>
      </w:r>
    </w:p>
    <w:p>
      <w:pPr>
        <w:pStyle w:val="833"/>
        <w:pBdr/>
        <w:spacing/>
        <w:ind/>
        <w:jc w:val="both"/>
        <w:rPr>
          <w:sz w:val="22"/>
          <w:szCs w:val="22"/>
          <w:lang w:val="nl-BE"/>
        </w:rPr>
      </w:pPr>
      <w:r>
        <w:rPr>
          <w:sz w:val="22"/>
          <w:szCs w:val="22"/>
          <w:lang w:val="nl-BE"/>
        </w:rPr>
        <w:t xml:space="preserve">Interne aggregate-decoupling binnen één service (one-aggregate-per-transaction)</w:t>
      </w:r>
      <w:r>
        <w:rPr>
          <w:sz w:val="22"/>
          <w:szCs w:val="22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Het idee: persisteer nooit meerdere aggregates in één transactie. De aggregate publiceert na commit een event; een @TransactionalEventListener(AFTER_COMMIT) reageert pas in een verse transactie.</w:t>
      </w:r>
      <w:r>
        <w:rPr>
          <w:sz w:val="18"/>
          <w:szCs w:val="18"/>
          <w:lang w:val="nl-BE"/>
        </w:rPr>
      </w:r>
    </w:p>
    <w:p>
      <w:pPr>
        <w:keepLines w:val="true"/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Concrete toepassingen in KDG:</w:t>
      </w:r>
      <w:r>
        <w:rPr>
          <w:sz w:val="18"/>
          <w:szCs w:val="18"/>
          <w:lang w:val="nl-BE"/>
        </w:rPr>
      </w:r>
    </w:p>
    <w:p>
      <w:pPr>
        <w:keepLines w:val="true"/>
        <w:pBdr/>
        <w:spacing w:after="0" w:afterAutospacing="0"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- Restaurant-service: als een restaurant op CLOSED gaat, publiceer een RestaurantStatusChangedEvent; een listener </w:t>
      </w:r>
      <w:r>
        <w:rPr>
          <w:sz w:val="18"/>
          <w:szCs w:val="18"/>
          <w:lang w:val="nl-BE"/>
        </w:rPr>
        <w:t xml:space="preserve">logt het, stuurt een notificatie of invalideert de cache. De service zelf blijft schoon.</w:t>
      </w:r>
      <w:r>
        <w:rPr>
          <w:sz w:val="18"/>
          <w:szCs w:val="18"/>
          <w:lang w:val="nl-BE"/>
        </w:rPr>
      </w:r>
    </w:p>
    <w:p>
      <w:pPr>
        <w:keepLines w:val="true"/>
        <w:pBdr/>
        <w:spacing w:after="0" w:afterAutospacing="0"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- Order-service: na Order.place() publiceert de order een OrderPlacedDomainEvent; tracking, analytics of een welkomstmail volgen als losse listeners.</w:t>
      </w:r>
      <w:r>
        <w:rPr>
          <w:sz w:val="18"/>
          <w:szCs w:val="18"/>
          <w:lang w:val="nl-BE"/>
        </w:rPr>
      </w:r>
    </w:p>
    <w:p>
      <w:pPr>
        <w:keepLines w:val="true"/>
        <w:suppressLineNumbers w:val="false"/>
        <w:pBdr/>
        <w:spacing/>
        <w:ind w:right="0"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- Delivery-service: al in gebruik voor CourierAssignedEvent, CourierReleasedEvent en </w:t>
      </w:r>
      <w:r>
        <w:rPr>
          <w:sz w:val="18"/>
          <w:szCs w:val="18"/>
          <w:lang w:val="nl-BE"/>
        </w:rPr>
        <w:t xml:space="preserve">DeliveryDeliveredEvent</w:t>
      </w:r>
      <w:r>
        <w:rPr>
          <w:sz w:val="18"/>
          <w:szCs w:val="18"/>
          <w:lang w:val="nl-BE"/>
        </w:rPr>
        <w:t xml:space="preserve">.</w:t>
      </w:r>
      <w:r>
        <w:rPr>
          <w:sz w:val="18"/>
          <w:szCs w:val="18"/>
          <w:lang w:val="nl-BE" w:bidi="nl-BE"/>
        </w:rPr>
      </w:r>
      <w:r>
        <w:rPr>
          <w:sz w:val="18"/>
          <w:szCs w:val="18"/>
          <w:lang w:val="nl-BE"/>
        </w:rPr>
      </w:r>
    </w:p>
    <w:p>
      <w:pPr>
        <w:pStyle w:val="833"/>
        <w:pBdr/>
        <w:spacing/>
        <w:ind/>
        <w:jc w:val="both"/>
        <w:rPr>
          <w:sz w:val="22"/>
          <w:szCs w:val="22"/>
          <w:lang w:val="nl-BE"/>
        </w:rPr>
      </w:pPr>
      <w:r>
        <w:rPr>
          <w:sz w:val="22"/>
          <w:szCs w:val="22"/>
          <w:lang w:val="nl-BE"/>
        </w:rPr>
        <w:t xml:space="preserve">Cross-cutting concerns scheiden</w:t>
      </w:r>
      <w:r>
        <w:rPr>
          <w:sz w:val="22"/>
          <w:szCs w:val="22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Audit-logging, metrics en</w:t>
      </w:r>
      <w:r>
        <w:rPr>
          <w:sz w:val="18"/>
          <w:szCs w:val="18"/>
          <w:lang w:val="nl-BE"/>
        </w:rPr>
        <w:t xml:space="preserve"> notificaties zijn infrastructuur, geen domeinlogica. Door ze in @EventListener-componenten te zetten blijft de application service dun, voeg </w:t>
      </w:r>
      <w:r>
        <w:rPr>
          <w:sz w:val="18"/>
          <w:szCs w:val="18"/>
          <w:lang w:val="nl-BE"/>
        </w:rPr>
        <w:t xml:space="preserve">de</w:t>
      </w:r>
      <w:r>
        <w:rPr>
          <w:sz w:val="18"/>
          <w:szCs w:val="18"/>
          <w:lang w:val="nl-BE"/>
        </w:rPr>
        <w:t xml:space="preserve"> features toe zonder bestaande code</w:t>
      </w:r>
      <w:r>
        <w:rPr>
          <w:sz w:val="18"/>
          <w:szCs w:val="18"/>
          <w:lang w:val="nl-BE"/>
        </w:rPr>
        <w:t xml:space="preserve"> aan</w:t>
      </w:r>
      <w:r>
        <w:rPr>
          <w:sz w:val="18"/>
          <w:szCs w:val="18"/>
          <w:lang w:val="nl-BE"/>
        </w:rPr>
        <w:t xml:space="preserve"> te raken (Open/Closed), en test </w:t>
      </w:r>
      <w:r>
        <w:rPr>
          <w:sz w:val="18"/>
          <w:szCs w:val="18"/>
          <w:lang w:val="nl-BE"/>
        </w:rPr>
        <w:t xml:space="preserve">de</w:t>
      </w:r>
      <w:r>
        <w:rPr>
          <w:sz w:val="18"/>
          <w:szCs w:val="18"/>
          <w:lang w:val="nl-BE"/>
        </w:rPr>
        <w:t xml:space="preserve"> domeinlogica en listeners los van elkaar.</w:t>
      </w:r>
      <w:r>
        <w:rPr>
          <w:sz w:val="18"/>
          <w:szCs w:val="18"/>
          <w:lang w:val="nl-BE" w:bidi="nl-BE"/>
        </w:rPr>
      </w:r>
      <w:r>
        <w:rPr>
          <w:sz w:val="18"/>
          <w:szCs w:val="18"/>
          <w:lang w:val="nl-BE"/>
        </w:rPr>
      </w:r>
    </w:p>
    <w:p>
      <w:pPr>
        <w:pStyle w:val="833"/>
        <w:pBdr/>
        <w:spacing/>
        <w:ind/>
        <w:jc w:val="both"/>
        <w:rPr>
          <w:sz w:val="22"/>
          <w:szCs w:val="22"/>
          <w:lang w:val="nl-BE"/>
        </w:rPr>
      </w:pPr>
      <w:r>
        <w:rPr>
          <w:sz w:val="22"/>
          <w:szCs w:val="22"/>
          <w:lang w:val="nl-BE"/>
        </w:rPr>
        <w:t xml:space="preserve">Domein-events als eerste-klas burgers</w:t>
      </w:r>
      <w:r>
        <w:rPr>
          <w:sz w:val="22"/>
          <w:szCs w:val="22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In plaats van zelf de OutboundEventPublisher aan te roepen, publiceert de service intern een domein-event. Eén adapter</w:t>
      </w:r>
      <w:r>
        <w:rPr>
          <w:sz w:val="18"/>
          <w:szCs w:val="18"/>
          <w:lang w:val="nl-BE"/>
        </w:rPr>
        <w:t xml:space="preserve">: </w:t>
      </w:r>
      <w:r>
        <w:rPr>
          <w:sz w:val="18"/>
          <w:szCs w:val="18"/>
          <w:lang w:val="nl-BE"/>
        </w:rPr>
        <w:t xml:space="preserve">AmqpOutboundEventListener</w:t>
      </w:r>
      <w:r>
        <w:rPr>
          <w:sz w:val="18"/>
          <w:szCs w:val="18"/>
          <w:lang w:val="nl-BE"/>
        </w:rPr>
        <w:t xml:space="preserve">, </w:t>
      </w:r>
      <w:r>
        <w:rPr>
          <w:sz w:val="18"/>
          <w:szCs w:val="18"/>
          <w:lang w:val="nl-BE"/>
        </w:rPr>
        <w:t xml:space="preserve">luistert naar alle interne events en vertaalt ze naar AMQP-berichten.</w:t>
      </w:r>
      <w:r>
        <w:rPr>
          <w:sz w:val="18"/>
          <w:szCs w:val="18"/>
          <w:lang w:val="nl-BE"/>
        </w:rPr>
      </w:r>
    </w:p>
    <w:p>
      <w:pPr>
        <w:pBdr/>
        <w:spacing w:after="0" w:afterAutospacing="0"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- Zo kent de service geen RabbitTemplate, routing keys of exchange-namen meer; AMQP wordt een implementatiedetail.</w:t>
      </w:r>
      <w:r>
        <w:rPr>
          <w:sz w:val="18"/>
          <w:szCs w:val="18"/>
          <w:lang w:val="nl-BE"/>
        </w:rPr>
      </w:r>
    </w:p>
    <w:p w14:paraId="469B1063">
      <w:pPr>
        <w:pBdr/>
        <w:spacing w:after="0" w:afterAutospacing="0"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</w:r>
      <w:r>
        <w:rPr>
          <w:sz w:val="18"/>
          <w:szCs w:val="18"/>
          <w:lang w:val="nl-BE"/>
        </w:rPr>
        <w:t xml:space="preserve">- Alle uitgaande events passeren één punt: ideaal om later een outbox-pattern</w:t>
      </w:r>
      <w:r>
        <w:rPr>
          <w:sz w:val="18"/>
          <w:szCs w:val="18"/>
          <w:lang w:val="nl-BE"/>
        </w:rPr>
        <w:t xml:space="preserve"> </w:t>
      </w:r>
      <w:r>
        <w:rPr>
          <w:sz w:val="18"/>
          <w:szCs w:val="18"/>
          <w:lang w:val="nl-BE"/>
        </w:rPr>
        <w:t xml:space="preserve">of schema-validatie toe te voegen.</w:t>
      </w:r>
      <w:r>
        <w:rPr>
          <w:sz w:val="18"/>
          <w:szCs w:val="18"/>
          <w:lang w:val="nl-BE"/>
        </w:rPr>
      </w:r>
      <w:r/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 w:bidi="nl-BE"/>
        </w:rPr>
      </w:r>
      <w:r>
        <w:rPr>
          <w:sz w:val="18"/>
          <w:szCs w:val="18"/>
          <w:lang w:val="nl-BE"/>
        </w:rPr>
      </w:r>
    </w:p>
    <w:p>
      <w:pPr>
        <w:pStyle w:val="832"/>
        <w:pBdr/>
        <w:spacing/>
        <w:ind/>
        <w:jc w:val="both"/>
        <w:rPr>
          <w:sz w:val="24"/>
          <w:szCs w:val="24"/>
          <w:lang w:val="nl-BE"/>
        </w:rPr>
      </w:pPr>
      <w:r>
        <w:rPr>
          <w:sz w:val="24"/>
          <w:szCs w:val="24"/>
          <w:lang w:val="nl-BE"/>
        </w:rPr>
        <w:t xml:space="preserve">Voordelen</w:t>
      </w:r>
      <w:r>
        <w:rPr>
          <w:sz w:val="24"/>
          <w:szCs w:val="24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Losse koppeling:</w:t>
        <w:tab/>
        <w:tab/>
        <w:t xml:space="preserve"> </w:t>
      </w:r>
      <w:r>
        <w:rPr>
          <w:sz w:val="18"/>
          <w:szCs w:val="18"/>
          <w:lang w:val="nl-BE"/>
        </w:rPr>
        <w:t xml:space="preserve">s</w:t>
      </w:r>
      <w:r>
        <w:rPr>
          <w:sz w:val="18"/>
          <w:szCs w:val="18"/>
          <w:lang w:val="nl-BE"/>
        </w:rPr>
        <w:t xml:space="preserve">ervices en aggregates kennen elkaar niet; communicatie loopt via events.</w:t>
      </w:r>
      <w:r>
        <w:rPr>
          <w:sz w:val="18"/>
          <w:szCs w:val="18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Eén aggregate per transactie : respecteert de DDD-consistentiegrens.</w:t>
      </w:r>
      <w:r>
        <w:rPr>
          <w:sz w:val="18"/>
          <w:szCs w:val="18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Uitbreidbaar : </w:t>
        <w:tab/>
        <w:tab/>
        <w:t xml:space="preserve">nieuwe listener = nieuwe feature, zonder bestaande code aan te raken.</w:t>
      </w:r>
      <w:r>
        <w:rPr>
          <w:sz w:val="18"/>
          <w:szCs w:val="18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Testbaar : </w:t>
        <w:tab/>
        <w:tab/>
        <w:t xml:space="preserve">domeinlogica en listeners los testen, zonder infrastructuur.</w:t>
      </w:r>
      <w:r>
        <w:rPr>
          <w:sz w:val="18"/>
          <w:szCs w:val="18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 w:bidi="nl-BE"/>
        </w:rPr>
      </w:r>
      <w:r>
        <w:rPr>
          <w:sz w:val="18"/>
          <w:szCs w:val="18"/>
          <w:lang w:val="nl-BE"/>
        </w:rPr>
      </w:r>
    </w:p>
    <w:p>
      <w:pPr>
        <w:pStyle w:val="832"/>
        <w:pBdr/>
        <w:spacing/>
        <w:ind/>
        <w:jc w:val="both"/>
        <w:rPr>
          <w:sz w:val="24"/>
          <w:szCs w:val="24"/>
          <w:lang w:val="nl-BE"/>
        </w:rPr>
      </w:pPr>
      <w:r>
        <w:rPr>
          <w:sz w:val="24"/>
          <w:szCs w:val="24"/>
          <w:lang w:val="nl-BE"/>
        </w:rPr>
        <w:t xml:space="preserve">Nadelen &amp; risico's</w:t>
      </w:r>
      <w:r>
        <w:rPr>
          <w:sz w:val="24"/>
          <w:szCs w:val="24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Complexiteit : </w:t>
        <w:tab/>
        <w:tab/>
        <w:t xml:space="preserve">meer bewegende delen; alleen inzetten waar het waarde toevoegt.</w:t>
      </w:r>
      <w:r>
        <w:rPr>
          <w:sz w:val="18"/>
          <w:szCs w:val="18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Latentie : </w:t>
        <w:tab/>
        <w:tab/>
        <w:t xml:space="preserve">asynchroon = eventuele consistentie, geen directe feedback.</w:t>
      </w:r>
      <w:r>
        <w:rPr>
          <w:sz w:val="18"/>
          <w:szCs w:val="18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Debugging : </w:t>
        <w:tab/>
        <w:tab/>
        <w:t xml:space="preserve">de stack trace stopt bij de publisher; gebruik correlation IDs (traceId).</w:t>
      </w:r>
      <w:r>
        <w:rPr>
          <w:sz w:val="18"/>
          <w:szCs w:val="18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Betrouwbaarheid : </w:t>
        <w:tab/>
        <w:t xml:space="preserve">geen </w:t>
      </w:r>
      <w:r>
        <w:rPr>
          <w:sz w:val="18"/>
          <w:szCs w:val="18"/>
          <w:lang w:val="nl-BE"/>
        </w:rPr>
        <w:t xml:space="preserve">‘</w:t>
      </w:r>
      <w:r>
        <w:rPr>
          <w:sz w:val="18"/>
          <w:szCs w:val="18"/>
          <w:lang w:val="nl-BE"/>
        </w:rPr>
        <w:t xml:space="preserve">exactly-once</w:t>
      </w:r>
      <w:r>
        <w:rPr>
          <w:sz w:val="18"/>
          <w:szCs w:val="18"/>
          <w:lang w:val="nl-BE"/>
        </w:rPr>
        <w:t xml:space="preserve">’</w:t>
      </w:r>
      <w:r>
        <w:rPr>
          <w:sz w:val="18"/>
          <w:szCs w:val="18"/>
          <w:lang w:val="nl-BE"/>
        </w:rPr>
        <w:t xml:space="preserve"> </w:t>
      </w:r>
      <w:r>
        <w:rPr>
          <w:sz w:val="18"/>
          <w:szCs w:val="18"/>
          <w:lang w:val="nl-BE"/>
        </w:rPr>
        <w:t xml:space="preserve">van</w:t>
      </w:r>
      <w:r>
        <w:rPr>
          <w:sz w:val="18"/>
          <w:szCs w:val="18"/>
          <w:lang w:val="nl-BE"/>
        </w:rPr>
        <w:t xml:space="preserve"> ordering, en een failliet AFTER_COMMIT-listener herstel je niet </w:t>
        <w:tab/>
        <w:tab/>
        <w:tab/>
        <w:tab/>
        <w:tab/>
        <w:t xml:space="preserve">automatisch</w:t>
      </w:r>
      <w:r>
        <w:rPr>
          <w:sz w:val="18"/>
          <w:szCs w:val="18"/>
          <w:lang w:val="nl-BE"/>
        </w:rPr>
        <w:t xml:space="preserve">.</w:t>
      </w:r>
      <w:r>
        <w:rPr>
          <w:sz w:val="18"/>
          <w:szCs w:val="18"/>
          <w:lang w:val="nl-BE"/>
        </w:rPr>
        <w:t xml:space="preserve"> voorzie outbox, retry of een dead-letter queue.</w:t>
      </w:r>
      <w:r>
        <w:rPr>
          <w:sz w:val="18"/>
          <w:szCs w:val="18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 w:bidi="nl-BE"/>
        </w:rPr>
      </w:r>
      <w:r>
        <w:rPr>
          <w:sz w:val="18"/>
          <w:szCs w:val="18"/>
          <w:lang w:val="nl-BE"/>
        </w:rPr>
      </w:r>
    </w:p>
    <w:p>
      <w:pPr>
        <w:pStyle w:val="832"/>
        <w:pBdr/>
        <w:spacing/>
        <w:ind/>
        <w:jc w:val="both"/>
        <w:rPr>
          <w:sz w:val="24"/>
          <w:szCs w:val="24"/>
          <w:lang w:val="nl-BE"/>
        </w:rPr>
      </w:pPr>
      <w:r>
        <w:rPr>
          <w:sz w:val="24"/>
          <w:szCs w:val="24"/>
          <w:lang w:val="nl-BE"/>
        </w:rPr>
        <w:t xml:space="preserve">Conclusie</w:t>
      </w:r>
      <w:r>
        <w:rPr>
          <w:sz w:val="24"/>
          <w:szCs w:val="24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Spring ApplicationEvents zijn geen tovermidd</w:t>
      </w:r>
      <w:r>
        <w:rPr>
          <w:sz w:val="18"/>
          <w:szCs w:val="18"/>
          <w:lang w:val="nl-BE"/>
        </w:rPr>
        <w:t xml:space="preserve">el, maar lossen bij ons wel drie concrete problemen op: ze dwingen de one-aggregate-per-transaction-regel af (de delivery-service bewijst het), halen infrastructuur uit de domeinlogica, en geven een uniform event-model dat intern én extern herbruikbaar is.</w:t>
      </w:r>
      <w:r>
        <w:rPr>
          <w:sz w:val="18"/>
          <w:szCs w:val="18"/>
          <w:lang w:val="nl-BE"/>
        </w:rPr>
      </w:r>
    </w:p>
    <w:p>
      <w:pPr>
        <w:pStyle w:val="894"/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en-US"/>
        </w:rPr>
        <w:t xml:space="preserve">-</w:t>
      </w:r>
      <w:r>
        <w:rPr>
          <w:sz w:val="18"/>
          <w:szCs w:val="18"/>
          <w:lang w:val="nl-BE"/>
        </w:rPr>
        <w:t xml:space="preserve">Rol het patroon uit naar restaurant-service (statuswijzigingen, scheduled jobs) en order-service (checkout, payment, tracking).</w:t>
      </w:r>
      <w:r>
        <w:rPr>
          <w:sz w:val="18"/>
          <w:szCs w:val="18"/>
          <w:lang w:val="nl-BE"/>
        </w:rPr>
      </w:r>
    </w:p>
    <w:p>
      <w:pPr>
        <w:pStyle w:val="894"/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en-US"/>
        </w:rPr>
        <w:t xml:space="preserve">-</w:t>
      </w:r>
      <w:r>
        <w:rPr>
          <w:sz w:val="18"/>
          <w:szCs w:val="18"/>
          <w:lang w:val="nl-BE"/>
        </w:rPr>
        <w:t xml:space="preserve">Centraliseer AMQP-publicatie in één AmqpOutboundEventListener per service.</w:t>
      </w:r>
      <w:r>
        <w:rPr>
          <w:sz w:val="18"/>
          <w:szCs w:val="18"/>
          <w:lang w:val="nl-BE"/>
        </w:rPr>
      </w:r>
    </w:p>
    <w:p>
      <w:pPr>
        <w:pStyle w:val="894"/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en-US"/>
        </w:rPr>
        <w:t xml:space="preserve">-</w:t>
      </w:r>
      <w:r>
        <w:rPr>
          <w:sz w:val="18"/>
          <w:szCs w:val="18"/>
          <w:lang w:val="nl-BE"/>
        </w:rPr>
        <w:t xml:space="preserve">Blijf pragmatisch: geen events voor simpele synchrone flows.</w:t>
      </w:r>
      <w:r>
        <w:rPr>
          <w:sz w:val="18"/>
          <w:szCs w:val="18"/>
          <w:lang w:val="nl-BE"/>
        </w:rPr>
      </w:r>
    </w:p>
    <w:p>
      <w:pPr>
        <w:pBdr/>
        <w:spacing/>
        <w:ind/>
        <w:jc w:val="both"/>
        <w:rPr>
          <w:sz w:val="18"/>
          <w:szCs w:val="18"/>
          <w:lang w:val="nl-BE"/>
        </w:rPr>
      </w:pPr>
      <w:r>
        <w:rPr>
          <w:sz w:val="18"/>
          <w:szCs w:val="18"/>
          <w:lang w:val="nl-BE"/>
        </w:rPr>
        <w:t xml:space="preserve">Kortom: events waar ze koppeling verminderen</w:t>
      </w:r>
      <w:r>
        <w:rPr>
          <w:sz w:val="18"/>
          <w:szCs w:val="18"/>
          <w:lang w:val="en-US"/>
        </w:rPr>
        <w:t xml:space="preserve">.</w:t>
      </w:r>
      <w:r>
        <w:rPr>
          <w:sz w:val="18"/>
          <w:szCs w:val="18"/>
          <w:lang w:val="nl-B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6BAC77"/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832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pStyle w:val="833"/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38ACDB9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numPr>
        <w:ilvl w:val="0"/>
        <w:numId w:val="1"/>
      </w:numPr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  <w:lang w:val="en-US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  <w:lang w:val="en-US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link w:val="832"/>
    <w:uiPriority w:val="9"/>
    <w:pPr>
      <w:pBdr/>
      <w:spacing/>
      <w:ind/>
    </w:pPr>
    <w:rPr>
      <w:lang w:val="en-US"/>
    </w:rPr>
  </w:style>
  <w:style w:type="character" w:styleId="843">
    <w:name w:val="Heading 3 Char"/>
    <w:link w:val="833"/>
    <w:uiPriority w:val="9"/>
    <w:pPr>
      <w:pBdr/>
      <w:spacing/>
      <w:ind/>
    </w:pPr>
    <w:rPr>
      <w:lang w:val="en-US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2026-08-28T10:49:07Z</dcterms:modified>
</cp:coreProperties>
</file>