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Arial" w:cs="Arial" w:eastAsia="Arial" w:hAnsi="Arial"/>
          <w:b/>
          <w:bCs/>
          <w:color w:val="C1632F"/>
          <w:spacing w:val="120"/>
          <w:sz w:val="18"/>
          <w:szCs w:val="18"/>
        </w:rPr>
        <w:t xml:space="preserve">EPET N°7  ·  JARDÍN AMÉRICA  ·  MISIONES</w:t>
      </w:r>
    </w:p>
    <w:p>
      <w:pPr>
        <w:spacing w:after="100"/>
      </w:pPr>
      <w:r>
        <w:t xml:space="preserve"/>
      </w:r>
    </w:p>
    <w:p>
      <w:pPr>
        <w:spacing w:after="100"/>
      </w:pPr>
      <w:r>
        <w:rPr>
          <w:rFonts w:ascii="Arial" w:cs="Arial" w:eastAsia="Arial" w:hAnsi="Arial"/>
          <w:b/>
          <w:bCs/>
          <w:color w:val="1F4E79"/>
          <w:sz w:val="60"/>
          <w:szCs w:val="60"/>
        </w:rPr>
        <w:t xml:space="preserve">README</w:t>
      </w:r>
    </w:p>
    <w:p>
      <w:pPr>
        <w:spacing w:after="300"/>
      </w:pPr>
      <w:r>
        <w:rPr>
          <w:rFonts w:ascii="Arial" w:cs="Arial" w:eastAsia="Arial" w:hAnsi="Arial"/>
          <w:i/>
          <w:iCs/>
          <w:color w:val="8A8276"/>
          <w:sz w:val="36"/>
          <w:szCs w:val="36"/>
        </w:rPr>
        <w:t xml:space="preserve">del paquete docente</w:t>
      </w:r>
    </w:p>
    <w:p>
      <w:pPr>
        <w:spacing w:after="100"/>
      </w:pPr>
      <w:r>
        <w:t xml:space="preserve"/>
      </w:r>
    </w:p>
    <w:p>
      <w:pPr>
        <w:spacing w:after="100"/>
      </w:pPr>
      <w:r>
        <w:rPr>
          <w:rFonts w:ascii="Arial" w:cs="Arial" w:eastAsia="Arial" w:hAnsi="Arial"/>
          <w:b/>
          <w:bCs/>
          <w:color w:val="1B2430"/>
          <w:sz w:val="32"/>
          <w:szCs w:val="32"/>
        </w:rPr>
        <w:t xml:space="preserve">Introducción a la Informática</w:t>
      </w:r>
    </w:p>
    <w:p>
      <w:pPr>
        <w:spacing w:after="600"/>
      </w:pPr>
      <w:r>
        <w:rPr>
          <w:rFonts w:ascii="Arial" w:cs="Arial" w:eastAsia="Arial" w:hAnsi="Arial"/>
          <w:color w:val="8A8276"/>
          <w:sz w:val="22"/>
          <w:szCs w:val="22"/>
        </w:rPr>
        <w:t xml:space="preserve">1° año  ·  E.P.J.A.  ·  Ciclo lectivo 2026</w:t>
      </w:r>
    </w:p>
    <w:p>
      <w:pPr>
        <w:spacing w:after="100" w:before="1800"/>
      </w:pPr>
      <w:r>
        <w:rPr>
          <w:rFonts w:ascii="Arial" w:cs="Arial" w:eastAsia="Arial" w:hAnsi="Arial"/>
          <w:i/>
          <w:iCs/>
          <w:color w:val="1F4E79"/>
          <w:sz w:val="22"/>
          <w:szCs w:val="22"/>
        </w:rPr>
        <w:t xml:space="preserve">Cómo está armado, qué incluye, cómo usarlo</w:t>
      </w:r>
    </w:p>
    <w:p>
      <w:pPr>
        <w:spacing w:after="100"/>
      </w:pPr>
      <w:r>
        <w:rPr>
          <w:rFonts w:ascii="Arial" w:cs="Arial" w:eastAsia="Arial" w:hAnsi="Arial"/>
          <w:i/>
          <w:iCs/>
          <w:color w:val="1F4E79"/>
          <w:sz w:val="22"/>
          <w:szCs w:val="22"/>
        </w:rPr>
        <w:t xml:space="preserve">y qué hacer si el año que viene la materia la toma otra persona.</w:t>
      </w:r>
    </w:p>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1.  ¿Qué es este paquete?</w:t>
      </w:r>
    </w:p>
    <w:p>
      <w:pPr>
        <w:spacing w:after="120" w:before="0"/>
        <w:jc w:val="left"/>
      </w:pPr>
      <w:r>
        <w:rPr>
          <w:rFonts w:ascii="Arial" w:cs="Arial" w:eastAsia="Arial" w:hAnsi="Arial"/>
          <w:b w:val="false"/>
          <w:bCs w:val="false"/>
          <w:i w:val="false"/>
          <w:iCs w:val="false"/>
          <w:color w:val="1B2430"/>
          <w:sz w:val="22"/>
          <w:szCs w:val="22"/>
        </w:rPr>
        <w:t xml:space="preserve">Es el conjunto completo de materiales pedagógicos para dictar la materia “Introducción a la Informática” en 1° año E.P.J.A. de la EPET N°7 durante el ciclo lectivo 2026. Incluye planificación anual, contenidos teóricos para alumnos y docente, instrumentos de evaluación, soporte digital web y presentaciones proyectables para cada unidad.</w:t>
      </w:r>
    </w:p>
    <w:p>
      <w:pPr>
        <w:spacing w:after="120" w:before="0"/>
        <w:jc w:val="left"/>
      </w:pPr>
      <w:r>
        <w:rPr>
          <w:rFonts w:ascii="Arial" w:cs="Arial" w:eastAsia="Arial" w:hAnsi="Arial"/>
          <w:b w:val="false"/>
          <w:bCs w:val="false"/>
          <w:i w:val="false"/>
          <w:iCs w:val="false"/>
          <w:color w:val="1B2430"/>
          <w:sz w:val="22"/>
          <w:szCs w:val="22"/>
        </w:rPr>
        <w:t xml:space="preserve">El paquete está pensado para ser autosuficiente: con estos materiales se puede cubrir el año entero sin necesidad de buscar bibliografía adicional, aunque siempre conviene complementar con recursos del aula.</w:t>
      </w:r>
    </w:p>
    <w:p>
      <w:pPr>
        <w:spacing w:after="120" w:before="0"/>
        <w:jc w:val="left"/>
      </w:pPr>
      <w:r>
        <w:rPr>
          <w:rFonts w:ascii="Arial" w:cs="Arial" w:eastAsia="Arial" w:hAnsi="Arial"/>
          <w:b w:val="false"/>
          <w:bCs w:val="false"/>
          <w:i/>
          <w:iCs/>
          <w:color w:val="8A8276"/>
          <w:sz w:val="22"/>
          <w:szCs w:val="22"/>
        </w:rPr>
        <w:t xml:space="preserve">Este README es la puerta de entrada al sistema. Si en algún momento la materia la toma otra persona, leyendo esto debería poder entender qué hay, dónde está, cómo se usa y por qué cada cosa está como está, sin tener que reconstruir el sistema desde cero.</w:t>
      </w:r>
    </w:p>
    <w:p>
      <w:pPr>
        <w:pStyle w:val="Heading1"/>
        <w:pBdr>
          <w:bottom w:val="single" w:color="C1632F" w:sz="8" w:space="4"/>
        </w:pBdr>
        <w:spacing w:after="200" w:before="360"/>
      </w:pPr>
      <w:r>
        <w:rPr>
          <w:rFonts w:ascii="Arial" w:cs="Arial" w:eastAsia="Arial" w:hAnsi="Arial"/>
          <w:b/>
          <w:bCs/>
          <w:color w:val="1F4E79"/>
          <w:sz w:val="36"/>
          <w:szCs w:val="36"/>
        </w:rPr>
        <w:t xml:space="preserve">2.  Inventario completo</w:t>
      </w:r>
    </w:p>
    <w:p>
      <w:pPr>
        <w:spacing w:after="120" w:before="0"/>
        <w:jc w:val="left"/>
      </w:pPr>
      <w:r>
        <w:rPr>
          <w:rFonts w:ascii="Arial" w:cs="Arial" w:eastAsia="Arial" w:hAnsi="Arial"/>
          <w:b w:val="false"/>
          <w:bCs w:val="false"/>
          <w:i w:val="false"/>
          <w:iCs w:val="false"/>
          <w:color w:val="1B2430"/>
          <w:sz w:val="22"/>
          <w:szCs w:val="22"/>
        </w:rPr>
        <w:t xml:space="preserve">El paquete contiene 24 archivos organizados en tres familias:</w:t>
      </w:r>
    </w:p>
    <w:p>
      <w:pPr>
        <w:pStyle w:val="Heading3"/>
        <w:spacing w:after="100" w:before="200"/>
      </w:pPr>
      <w:r>
        <w:rPr>
          <w:rFonts w:ascii="Arial" w:cs="Arial" w:eastAsia="Arial" w:hAnsi="Arial"/>
          <w:b/>
          <w:bCs/>
          <w:color w:val="C1632F"/>
          <w:sz w:val="24"/>
          <w:szCs w:val="24"/>
        </w:rPr>
        <w:t xml:space="preserve">Documentos Word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Archivo</w:t>
            </w:r>
          </w:p>
        </w:tc>
        <w:tc>
          <w:tcPr>
            <w:tcW w:type="dxa" w:w="556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Para qué sirve</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Planificacion_Introduccion_Informatica_EPJA.docx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Planificación anual detallada por unidades.</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Unidad1_Fundamentos_Informatica_Dossier.docx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Contenido teórico completo de la Unidad 1.</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Unidad2_Hardware_Dossier.docx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Contenido teórico completo de la Unidad 2.</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Unidad3_Software_SO_Dossier.docx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Contenido teórico completo de la Unidad 3.</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Unidad4_Productividad_Internet_Dossier.docx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Contenido teórico completo de la Unidad 4.</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Unidad5_PensamientoComputacional_Dossier.docx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Contenido teórico completo de la Unidad 5.</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Unidad6_IA_Etica_Trabajo_Dossier.docx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Contenido teórico completo de la Unidad 6.</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Cuadernillo_Introduccion_Informatica_EPJA.docx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Las 6 unidades compiladas en un solo libro para imprimir y entregar al estudiante.</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Guia_Docente_Respuestas_EPJA.docx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Respuestas a todas las actividades del cuadernillo y orientaciones didácticas.</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Rubrica_Portafolio_EPJA.docx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Rúbrica de evaluación del portafolio digital (criterios y niveles).</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Examenes_Integradores_EPJA.docx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Tres exámenes (uno por trimestre) listos para imprimir.</w:t>
            </w:r>
          </w:p>
        </w:tc>
      </w:tr>
    </w:tbl>
    <w:p>
      <w:pPr>
        <w:spacing w:after="100"/>
      </w:pPr>
      <w:r>
        <w:t xml:space="preserve"/>
      </w:r>
    </w:p>
    <w:p>
      <w:pPr>
        <w:pStyle w:val="Heading3"/>
        <w:spacing w:after="100" w:before="200"/>
      </w:pPr>
      <w:r>
        <w:rPr>
          <w:rFonts w:ascii="Arial" w:cs="Arial" w:eastAsia="Arial" w:hAnsi="Arial"/>
          <w:b/>
          <w:bCs/>
          <w:color w:val="C1632F"/>
          <w:sz w:val="24"/>
          <w:szCs w:val="24"/>
        </w:rPr>
        <w:t xml:space="preserve">Portal web (7 archivos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Archivo</w:t>
            </w:r>
          </w:p>
        </w:tc>
        <w:tc>
          <w:tcPr>
            <w:tcW w:type="dxa" w:w="556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Contenido</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portal_curso_informatica.html</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Página principal del curso con las 6 tarjetas de unidad.</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unidad_1_fundamentos.html</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 1 en versión web (header azul profundo).</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unidad_2_hardware.html</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 2 en versión web (header azul gradiente).</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unidad_3_software.html</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 3 en versión web (header terracota).</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unidad_4_productividad.html</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 4 en versión web (header verde).</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unidad_5_pensamiento.html</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 5 en versión web (header violeta).</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unidad_6_ia.html</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 6 en versión web (header ámbar/dorado).</w:t>
            </w:r>
          </w:p>
        </w:tc>
      </w:tr>
    </w:tbl>
    <w:p>
      <w:pPr>
        <w:spacing w:after="100"/>
      </w:pPr>
      <w:r>
        <w:t xml:space="preserve"/>
      </w:r>
    </w:p>
    <w:p>
      <w:pPr>
        <w:pStyle w:val="Heading3"/>
        <w:spacing w:after="100" w:before="200"/>
      </w:pPr>
      <w:r>
        <w:rPr>
          <w:rFonts w:ascii="Arial" w:cs="Arial" w:eastAsia="Arial" w:hAnsi="Arial"/>
          <w:b/>
          <w:bCs/>
          <w:color w:val="C1632F"/>
          <w:sz w:val="24"/>
          <w:szCs w:val="24"/>
        </w:rPr>
        <w:t xml:space="preserve">Presentaciones PowerPoint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Archivo</w:t>
            </w:r>
          </w:p>
        </w:tc>
        <w:tc>
          <w:tcPr>
            <w:tcW w:type="dxa" w:w="556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Slides</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Unidad1_Presentacion_EPJA.pptx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20 slides · Fundamentos e información.</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Unidad2_Presentacion_EPJA.pptx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22 slides · Hardware.</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Unidad3_Presentacion_EPJA.pptx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20 slides · Software y sistemas operativos.</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Unidad4_Presentacion_EPJA.pptx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28 slides · Productividad e Internet (la más larga).</w:t>
            </w:r>
          </w:p>
        </w:tc>
      </w:tr>
      <w:tr>
        <w:tc>
          <w:tcPr>
            <w:tcW w:type="dxa" w:w="3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Unidad5_Presentacion_EPJA.pptx</w:t>
            </w:r>
          </w:p>
        </w:tc>
        <w:tc>
          <w:tcPr>
            <w:tcW w:type="dxa" w:w="55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22 slides · Pensamiento computacional.</w:t>
            </w:r>
          </w:p>
        </w:tc>
      </w:tr>
      <w:tr>
        <w:tc>
          <w:tcPr>
            <w:tcW w:type="dxa" w:w="3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Unidad6_Presentacion_EPJA.pptx</w:t>
            </w:r>
          </w:p>
        </w:tc>
        <w:tc>
          <w:tcPr>
            <w:tcW w:type="dxa" w:w="55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22 slides · IA, ética y futuro del trabajo.</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3.  Cómo usar cada material</w:t>
      </w:r>
    </w:p>
    <w:p>
      <w:pPr>
        <w:pStyle w:val="Heading3"/>
        <w:spacing w:after="100" w:before="200"/>
      </w:pPr>
      <w:r>
        <w:rPr>
          <w:rFonts w:ascii="Arial" w:cs="Arial" w:eastAsia="Arial" w:hAnsi="Arial"/>
          <w:b/>
          <w:bCs/>
          <w:color w:val="C1632F"/>
          <w:sz w:val="24"/>
          <w:szCs w:val="24"/>
        </w:rPr>
        <w:t xml:space="preserve">Planificación anual</w:t>
      </w:r>
    </w:p>
    <w:p>
      <w:pPr>
        <w:spacing w:after="120" w:before="0"/>
        <w:jc w:val="left"/>
      </w:pPr>
      <w:r>
        <w:rPr>
          <w:rFonts w:ascii="Arial" w:cs="Arial" w:eastAsia="Arial" w:hAnsi="Arial"/>
          <w:b w:val="false"/>
          <w:bCs w:val="false"/>
          <w:i w:val="false"/>
          <w:iCs w:val="false"/>
          <w:color w:val="1B2430"/>
          <w:sz w:val="22"/>
          <w:szCs w:val="22"/>
        </w:rPr>
        <w:t xml:space="preserve">Es el documento institucional. Sirve para presentar a Dirección al inicio del ciclo y como mapa general del año. Incluye distribución horaria, articulación con materias de años superiores y criterios de evaluación. Si Dirección entrega su propia planilla institucional, los contenidos clave (propósitos, objetivos, ejes conceptuales por trimestre, metodología, evaluación, bibliografía y nota para el perfil EPJA) ya están redactados en este documento y pueden copiarse a la planilla.</w:t>
      </w:r>
    </w:p>
    <w:p>
      <w:pPr>
        <w:pStyle w:val="Heading3"/>
        <w:spacing w:after="100" w:before="200"/>
      </w:pPr>
      <w:r>
        <w:rPr>
          <w:rFonts w:ascii="Arial" w:cs="Arial" w:eastAsia="Arial" w:hAnsi="Arial"/>
          <w:b/>
          <w:bCs/>
          <w:color w:val="C1632F"/>
          <w:sz w:val="24"/>
          <w:szCs w:val="24"/>
        </w:rPr>
        <w:t xml:space="preserve">Dossiers de unidad (×6)</w:t>
      </w:r>
    </w:p>
    <w:p>
      <w:pPr>
        <w:spacing w:after="120" w:before="0"/>
        <w:jc w:val="left"/>
      </w:pPr>
      <w:r>
        <w:rPr>
          <w:rFonts w:ascii="Arial" w:cs="Arial" w:eastAsia="Arial" w:hAnsi="Arial"/>
          <w:b w:val="false"/>
          <w:bCs w:val="false"/>
          <w:i w:val="false"/>
          <w:iCs w:val="false"/>
          <w:color w:val="1B2430"/>
          <w:sz w:val="22"/>
          <w:szCs w:val="22"/>
        </w:rPr>
        <w:t xml:space="preserve">Cada dossier desarrolla en profundidad una unidad. Es el material de referencia del docente: contiene las definiciones, ejemplos contextualizados, secuencia didáctica sugerida y las actividades de los estudiantes con espacio para resolución.</w:t>
      </w:r>
    </w:p>
    <w:p>
      <w:pPr>
        <w:spacing w:after="120" w:before="0"/>
        <w:jc w:val="left"/>
      </w:pPr>
      <w:r>
        <w:rPr>
          <w:rFonts w:ascii="Arial" w:cs="Arial" w:eastAsia="Arial" w:hAnsi="Arial"/>
          <w:b w:val="false"/>
          <w:bCs w:val="false"/>
          <w:i w:val="false"/>
          <w:iCs w:val="false"/>
          <w:color w:val="1B2430"/>
          <w:sz w:val="22"/>
          <w:szCs w:val="22"/>
        </w:rPr>
        <w:t xml:space="preserve">Si querés rearmar o personalizar el cuadernillo del próximo año, los dossiers son la fuente original editable. Modificás el dossier que quieras y rearmás el compilado.</w:t>
      </w:r>
    </w:p>
    <w:p>
      <w:pPr>
        <w:pStyle w:val="Heading3"/>
        <w:spacing w:after="100" w:before="200"/>
      </w:pPr>
      <w:r>
        <w:rPr>
          <w:rFonts w:ascii="Arial" w:cs="Arial" w:eastAsia="Arial" w:hAnsi="Arial"/>
          <w:b/>
          <w:bCs/>
          <w:color w:val="C1632F"/>
          <w:sz w:val="24"/>
          <w:szCs w:val="24"/>
        </w:rPr>
        <w:t xml:space="preserve">Cuadernillo compilado</w:t>
      </w:r>
    </w:p>
    <w:p>
      <w:pPr>
        <w:spacing w:after="120" w:before="0"/>
        <w:jc w:val="left"/>
      </w:pPr>
      <w:r>
        <w:rPr>
          <w:rFonts w:ascii="Arial" w:cs="Arial" w:eastAsia="Arial" w:hAnsi="Arial"/>
          <w:b w:val="false"/>
          <w:bCs w:val="false"/>
          <w:i w:val="false"/>
          <w:iCs w:val="false"/>
          <w:color w:val="1B2430"/>
          <w:sz w:val="22"/>
          <w:szCs w:val="22"/>
        </w:rPr>
        <w:t xml:space="preserve">Es la versión final, lista para imprimir, que se entrega al estudiante. Contiene las 6 unidades en un solo libro. Imprimirlo a doble faz, anillado, sirve para todo el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632F" w:sz="4"/>
              <w:left w:val="single" w:color="C1632F" w:sz="24"/>
              <w:bottom w:val="single" w:color="C1632F" w:sz="4"/>
              <w:right w:val="single" w:color="C1632F" w:sz="4"/>
            </w:tcBorders>
            <w:shd w:fill="FFF4E0" w:val="clear"/>
            <w:tcMar>
              <w:top w:type="dxa" w:w="200"/>
              <w:left w:type="dxa" w:w="300"/>
              <w:bottom w:type="dxa" w:w="200"/>
              <w:right w:type="dxa" w:w="300"/>
            </w:tcMar>
          </w:tcPr>
          <w:p>
            <w:pPr>
              <w:spacing w:after="100"/>
            </w:pPr>
            <w:r>
              <w:rPr>
                <w:rFonts w:ascii="Arial" w:cs="Arial" w:eastAsia="Arial" w:hAnsi="Arial"/>
                <w:b/>
                <w:bCs/>
                <w:color w:val="C1632F"/>
                <w:sz w:val="22"/>
                <w:szCs w:val="22"/>
              </w:rPr>
              <w:t xml:space="preserve">Recomendación práctica</w:t>
            </w:r>
          </w:p>
          <w:p>
            <w:pPr>
              <w:spacing w:after="80"/>
            </w:pPr>
            <w:r>
              <w:rPr>
                <w:rFonts w:ascii="Arial" w:cs="Arial" w:eastAsia="Arial" w:hAnsi="Arial"/>
                <w:color w:val="1B2430"/>
                <w:sz w:val="20"/>
                <w:szCs w:val="20"/>
              </w:rPr>
              <w:t xml:space="preserve">Imprimí los cuadernillos antes de que arranque el ciclo (febrero/marzo). En modalidad E.P.J.A. el material físico es muy valorado: muchos estudiantes prefieren leer en papel y subrayar a mano antes que seguir la pantalla.</w:t>
            </w:r>
          </w:p>
        </w:tc>
      </w:tr>
    </w:tbl>
    <w:p>
      <w:pPr>
        <w:spacing w:after="100"/>
      </w:pPr>
      <w:r>
        <w:t xml:space="preserve"/>
      </w:r>
    </w:p>
    <w:p>
      <w:pPr>
        <w:pStyle w:val="Heading3"/>
        <w:spacing w:after="100" w:before="200"/>
      </w:pPr>
      <w:r>
        <w:rPr>
          <w:rFonts w:ascii="Arial" w:cs="Arial" w:eastAsia="Arial" w:hAnsi="Arial"/>
          <w:b/>
          <w:bCs/>
          <w:color w:val="C1632F"/>
          <w:sz w:val="24"/>
          <w:szCs w:val="24"/>
        </w:rPr>
        <w:t xml:space="preserve">Guía docente con respuestas</w:t>
      </w:r>
    </w:p>
    <w:p>
      <w:pPr>
        <w:spacing w:after="120" w:before="0"/>
        <w:jc w:val="left"/>
      </w:pPr>
      <w:r>
        <w:rPr>
          <w:rFonts w:ascii="Arial" w:cs="Arial" w:eastAsia="Arial" w:hAnsi="Arial"/>
          <w:b w:val="false"/>
          <w:bCs w:val="false"/>
          <w:i w:val="false"/>
          <w:iCs w:val="false"/>
          <w:color w:val="1B2430"/>
          <w:sz w:val="22"/>
          <w:szCs w:val="22"/>
        </w:rPr>
        <w:t xml:space="preserve">Acompaña al cuadernillo. Contiene las respuestas modelo a todas las actividades y orientaciones de cómo presentar cada tema. Útil para corregir rápido y para preparar las clases sin tener que resolver cada ejercicio de cero.</w:t>
      </w:r>
    </w:p>
    <w:p>
      <w:pPr>
        <w:pStyle w:val="Heading3"/>
        <w:spacing w:after="100" w:before="200"/>
      </w:pPr>
      <w:r>
        <w:rPr>
          <w:rFonts w:ascii="Arial" w:cs="Arial" w:eastAsia="Arial" w:hAnsi="Arial"/>
          <w:b/>
          <w:bCs/>
          <w:color w:val="C1632F"/>
          <w:sz w:val="24"/>
          <w:szCs w:val="24"/>
        </w:rPr>
        <w:t xml:space="preserve">Rúbrica del portafolio</w:t>
      </w:r>
    </w:p>
    <w:p>
      <w:pPr>
        <w:spacing w:after="120" w:before="0"/>
        <w:jc w:val="left"/>
      </w:pPr>
      <w:r>
        <w:rPr>
          <w:rFonts w:ascii="Arial" w:cs="Arial" w:eastAsia="Arial" w:hAnsi="Arial"/>
          <w:b w:val="false"/>
          <w:bCs w:val="false"/>
          <w:i w:val="false"/>
          <w:iCs w:val="false"/>
          <w:color w:val="1B2430"/>
          <w:sz w:val="22"/>
          <w:szCs w:val="22"/>
        </w:rPr>
        <w:t xml:space="preserve">El portafolio digital es la pieza central de evaluación del año. Esta rúbrica define qué se evalúa y con qué niveles de logro. Conviene entregársela al estudiante el primer día para que sepa desde el inicio qué se espera de él/ella.</w:t>
      </w:r>
    </w:p>
    <w:p>
      <w:pPr>
        <w:pStyle w:val="Heading3"/>
        <w:spacing w:after="100" w:before="200"/>
      </w:pPr>
      <w:r>
        <w:rPr>
          <w:rFonts w:ascii="Arial" w:cs="Arial" w:eastAsia="Arial" w:hAnsi="Arial"/>
          <w:b/>
          <w:bCs/>
          <w:color w:val="C1632F"/>
          <w:sz w:val="24"/>
          <w:szCs w:val="24"/>
        </w:rPr>
        <w:t xml:space="preserve">Exámenes integradores</w:t>
      </w:r>
    </w:p>
    <w:p>
      <w:pPr>
        <w:spacing w:after="120" w:before="0"/>
        <w:jc w:val="left"/>
      </w:pPr>
      <w:r>
        <w:rPr>
          <w:rFonts w:ascii="Arial" w:cs="Arial" w:eastAsia="Arial" w:hAnsi="Arial"/>
          <w:b w:val="false"/>
          <w:bCs w:val="false"/>
          <w:i w:val="false"/>
          <w:iCs w:val="false"/>
          <w:color w:val="1B2430"/>
          <w:sz w:val="22"/>
          <w:szCs w:val="22"/>
        </w:rPr>
        <w:t xml:space="preserve">Tres exámenes, uno por trimestre, listos para imprimir. Combinan preguntas conceptuales con aplicaciones prácticas. Las claves de corrección están en la guía docente.</w:t>
      </w:r>
    </w:p>
    <w:p>
      <w:pPr>
        <w:pStyle w:val="Heading3"/>
        <w:spacing w:after="100" w:before="200"/>
      </w:pPr>
      <w:r>
        <w:rPr>
          <w:rFonts w:ascii="Arial" w:cs="Arial" w:eastAsia="Arial" w:hAnsi="Arial"/>
          <w:b/>
          <w:bCs/>
          <w:color w:val="C1632F"/>
          <w:sz w:val="24"/>
          <w:szCs w:val="24"/>
        </w:rPr>
        <w:t xml:space="preserve">Portal web (HTML)</w:t>
      </w:r>
    </w:p>
    <w:p>
      <w:pPr>
        <w:spacing w:after="120" w:before="0"/>
        <w:jc w:val="left"/>
      </w:pPr>
      <w:r>
        <w:rPr>
          <w:rFonts w:ascii="Arial" w:cs="Arial" w:eastAsia="Arial" w:hAnsi="Arial"/>
          <w:b w:val="false"/>
          <w:bCs w:val="false"/>
          <w:i w:val="false"/>
          <w:iCs w:val="false"/>
          <w:color w:val="1B2430"/>
          <w:sz w:val="22"/>
          <w:szCs w:val="22"/>
        </w:rPr>
        <w:t xml:space="preserve">Soporte digital del curso. Cada estudiante puede acceder desde su celular o computadora para repasar contenidos en casa. Es estático: no requiere base de datos ni servidor especial. Para usarlo:</w:t>
      </w:r>
    </w:p>
    <w:p>
      <w:pPr>
        <w:pStyle w:val="ListParagraph"/>
        <w:numPr>
          <w:ilvl w:val="0"/>
          <w:numId w:val="2"/>
        </w:numPr>
        <w:spacing w:after="80"/>
      </w:pPr>
      <w:r>
        <w:rPr>
          <w:rFonts w:ascii="Arial" w:cs="Arial" w:eastAsia="Arial" w:hAnsi="Arial"/>
          <w:color w:val="1B2430"/>
          <w:sz w:val="22"/>
          <w:szCs w:val="22"/>
        </w:rPr>
        <w:t xml:space="preserve">Opción 1 (uso local): copiá la carpeta a una computadora o pendrive y abrí portal_curso_informatica.html con cualquier navegador.</w:t>
      </w:r>
    </w:p>
    <w:p>
      <w:pPr>
        <w:pStyle w:val="ListParagraph"/>
        <w:numPr>
          <w:ilvl w:val="0"/>
          <w:numId w:val="2"/>
        </w:numPr>
        <w:spacing w:after="80"/>
      </w:pPr>
      <w:r>
        <w:rPr>
          <w:rFonts w:ascii="Arial" w:cs="Arial" w:eastAsia="Arial" w:hAnsi="Arial"/>
          <w:color w:val="1B2430"/>
          <w:sz w:val="22"/>
          <w:szCs w:val="22"/>
        </w:rPr>
        <w:t xml:space="preserve">Opción 2 (en línea): subí la carpeta completa a Netlify Drop (netlify.com/drop) — es gratis, no requiere registro inicial, y queda una URL pública que podés compartir con los estudiantes.</w:t>
      </w:r>
    </w:p>
    <w:p>
      <w:pPr>
        <w:pStyle w:val="ListParagraph"/>
        <w:numPr>
          <w:ilvl w:val="0"/>
          <w:numId w:val="2"/>
        </w:numPr>
        <w:spacing w:after="80"/>
      </w:pPr>
      <w:r>
        <w:rPr>
          <w:rFonts w:ascii="Arial" w:cs="Arial" w:eastAsia="Arial" w:hAnsi="Arial"/>
          <w:color w:val="1B2430"/>
          <w:sz w:val="22"/>
          <w:szCs w:val="22"/>
        </w:rPr>
        <w:t xml:space="preserve">Opción 3 (institucional): si la escuela tiene un servidor o intranet, copiar los HTML allí.</w:t>
      </w:r>
    </w:p>
    <w:p>
      <w:pPr>
        <w:spacing w:after="120" w:before="0"/>
        <w:jc w:val="left"/>
      </w:pPr>
      <w:r>
        <w:rPr>
          <w:rFonts w:ascii="Arial" w:cs="Arial" w:eastAsia="Arial" w:hAnsi="Arial"/>
          <w:b w:val="false"/>
          <w:bCs w:val="false"/>
          <w:i/>
          <w:iCs/>
          <w:color w:val="8A8276"/>
          <w:sz w:val="22"/>
          <w:szCs w:val="22"/>
        </w:rPr>
        <w:t xml:space="preserve">Las páginas están todas interconectadas: desde cualquier unidad se puede saltar a otra usando los selectores superiores y los botones de paginación al pie.</w:t>
      </w:r>
    </w:p>
    <w:p>
      <w:pPr>
        <w:pStyle w:val="Heading3"/>
        <w:spacing w:after="100" w:before="200"/>
      </w:pPr>
      <w:r>
        <w:rPr>
          <w:rFonts w:ascii="Arial" w:cs="Arial" w:eastAsia="Arial" w:hAnsi="Arial"/>
          <w:b/>
          <w:bCs/>
          <w:color w:val="C1632F"/>
          <w:sz w:val="24"/>
          <w:szCs w:val="24"/>
        </w:rPr>
        <w:t xml:space="preserve">Presentaciones PowerPoint</w:t>
      </w:r>
    </w:p>
    <w:p>
      <w:pPr>
        <w:spacing w:after="120" w:before="0"/>
        <w:jc w:val="left"/>
      </w:pPr>
      <w:r>
        <w:rPr>
          <w:rFonts w:ascii="Arial" w:cs="Arial" w:eastAsia="Arial" w:hAnsi="Arial"/>
          <w:b w:val="false"/>
          <w:bCs w:val="false"/>
          <w:i w:val="false"/>
          <w:iCs w:val="false"/>
          <w:color w:val="1B2430"/>
          <w:sz w:val="22"/>
          <w:szCs w:val="22"/>
        </w:rPr>
        <w:t xml:space="preserve">Una por unidad, pensadas para proyectar en el aula. Pueden abrirse con PowerPoint, LibreOffice Impress, Keynote o Google Slides. Todas siguen la misma estética (tipografía Georgia + Calibri, paleta tierra-azul-crema) para que el estudiante perciba continuidad a lo largo del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24"/>
              <w:bottom w:val="single" w:color="2E75B6" w:sz="4"/>
              <w:right w:val="single" w:color="2E75B6" w:sz="4"/>
            </w:tcBorders>
            <w:shd w:fill="E8F5E9" w:val="clear"/>
            <w:tcMar>
              <w:top w:type="dxa" w:w="200"/>
              <w:left w:type="dxa" w:w="300"/>
              <w:bottom w:type="dxa" w:w="200"/>
              <w:right w:type="dxa" w:w="300"/>
            </w:tcMar>
          </w:tcPr>
          <w:p>
            <w:pPr>
              <w:spacing w:after="100"/>
            </w:pPr>
            <w:r>
              <w:rPr>
                <w:rFonts w:ascii="Arial" w:cs="Arial" w:eastAsia="Arial" w:hAnsi="Arial"/>
                <w:b/>
                <w:bCs/>
                <w:color w:val="2E75B6"/>
                <w:sz w:val="22"/>
                <w:szCs w:val="22"/>
              </w:rPr>
              <w:t xml:space="preserve">Tip de proyección</w:t>
            </w:r>
          </w:p>
          <w:p>
            <w:pPr>
              <w:spacing w:after="80"/>
            </w:pPr>
            <w:r>
              <w:rPr>
                <w:rFonts w:ascii="Arial" w:cs="Arial" w:eastAsia="Arial" w:hAnsi="Arial"/>
                <w:color w:val="1B2430"/>
                <w:sz w:val="20"/>
                <w:szCs w:val="20"/>
              </w:rPr>
              <w:t xml:space="preserve">Las presentaciones están en formato 16:9 widescreen (13,3 × 7,5 pulgadas). Funcionan en cualquier proyector moderno. Si el aula tiene proyector 4:3 antiguo, las imágenes se verán con bandas negras arriba y abajo, pero todo el contenido se ve igual.</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4.  Cronograma sugerido del año</w:t>
      </w:r>
    </w:p>
    <w:p>
      <w:pPr>
        <w:spacing w:after="120" w:before="0"/>
        <w:jc w:val="left"/>
      </w:pPr>
      <w:r>
        <w:rPr>
          <w:rFonts w:ascii="Arial" w:cs="Arial" w:eastAsia="Arial" w:hAnsi="Arial"/>
          <w:b w:val="false"/>
          <w:bCs w:val="false"/>
          <w:i w:val="false"/>
          <w:iCs w:val="false"/>
          <w:color w:val="1B2430"/>
          <w:sz w:val="22"/>
          <w:szCs w:val="22"/>
        </w:rPr>
        <w:t xml:space="preserve">La materia tiene 2 horas cátedra semanales, lo que totaliza aproximadamente 56 horas en el año. La distribución sugerida 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400"/>
        <w:gridCol w:w="2160"/>
      </w:tblGrid>
      <w:tr>
        <w:trPr>
          <w:tblHeader/>
        </w:trPr>
        <w:tc>
          <w:tcPr>
            <w:tcW w:type="dxa" w:w="180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Trimestre</w:t>
            </w:r>
          </w:p>
        </w:tc>
        <w:tc>
          <w:tcPr>
            <w:tcW w:type="dxa" w:w="400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Unidades</w:t>
            </w:r>
          </w:p>
        </w:tc>
        <w:tc>
          <w:tcPr>
            <w:tcW w:type="dxa" w:w="140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Horas</w:t>
            </w:r>
          </w:p>
        </w:tc>
        <w:tc>
          <w:tcPr>
            <w:tcW w:type="dxa" w:w="2160"/>
            <w:tcBorders>
              <w:top w:val="single" w:color="D9CDB6" w:sz="4"/>
              <w:left w:val="single" w:color="D9CDB6" w:sz="4"/>
              <w:bottom w:val="single" w:color="D9CDB6" w:sz="4"/>
              <w:right w:val="single" w:color="D9CDB6" w:sz="4"/>
            </w:tcBorders>
            <w:shd w:fill="1F4E79" w:val="clear"/>
            <w:tcMar>
              <w:top w:type="dxa" w:w="120"/>
              <w:left w:type="dxa" w:w="120"/>
              <w:bottom w:type="dxa" w:w="120"/>
              <w:right w:type="dxa" w:w="120"/>
            </w:tcMar>
          </w:tcPr>
          <w:p>
            <w:r>
              <w:rPr>
                <w:rFonts w:ascii="Arial" w:cs="Arial" w:eastAsia="Arial" w:hAnsi="Arial"/>
                <w:b/>
                <w:bCs/>
                <w:color w:val="FFFFFF"/>
                <w:sz w:val="20"/>
                <w:szCs w:val="20"/>
              </w:rPr>
              <w:t xml:space="preserve">Producción</w:t>
            </w:r>
          </w:p>
        </w:tc>
      </w:tr>
      <w:tr>
        <w:tc>
          <w:tcPr>
            <w:tcW w:type="dxa" w:w="1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1°</w:t>
            </w:r>
          </w:p>
        </w:tc>
        <w:tc>
          <w:tcPr>
            <w:tcW w:type="dxa" w:w="40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40"/>
            </w:pPr>
            <w:r>
              <w:rPr>
                <w:rFonts w:ascii="Arial" w:cs="Arial" w:eastAsia="Arial" w:hAnsi="Arial"/>
                <w:color w:val="1B2430"/>
                <w:sz w:val="19"/>
                <w:szCs w:val="19"/>
              </w:rPr>
              <w:t xml:space="preserve">U1 · Fundamentos e información</w:t>
            </w:r>
          </w:p>
          <w:p>
            <w:pPr>
              <w:spacing w:after="0"/>
            </w:pPr>
            <w:r>
              <w:rPr>
                <w:rFonts w:ascii="Arial" w:cs="Arial" w:eastAsia="Arial" w:hAnsi="Arial"/>
                <w:color w:val="1B2430"/>
                <w:sz w:val="19"/>
                <w:szCs w:val="19"/>
              </w:rPr>
              <w:t xml:space="preserve">U2 · Hardware</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16 hs</w:t>
            </w:r>
          </w:p>
        </w:tc>
        <w:tc>
          <w:tcPr>
            <w:tcW w:type="dxa" w:w="21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40"/>
            </w:pPr>
            <w:r>
              <w:rPr>
                <w:rFonts w:ascii="Arial" w:cs="Arial" w:eastAsia="Arial" w:hAnsi="Arial"/>
                <w:color w:val="1B2430"/>
                <w:sz w:val="19"/>
                <w:szCs w:val="19"/>
              </w:rPr>
              <w:t xml:space="preserve">1er examen integrador</w:t>
            </w:r>
          </w:p>
          <w:p>
            <w:pPr>
              <w:spacing w:after="0"/>
            </w:pPr>
            <w:r>
              <w:rPr>
                <w:rFonts w:ascii="Arial" w:cs="Arial" w:eastAsia="Arial" w:hAnsi="Arial"/>
                <w:color w:val="1B2430"/>
                <w:sz w:val="19"/>
                <w:szCs w:val="19"/>
              </w:rPr>
              <w:t xml:space="preserve">Inicio del portafolio</w:t>
            </w:r>
          </w:p>
        </w:tc>
      </w:tr>
      <w:tr>
        <w:tc>
          <w:tcPr>
            <w:tcW w:type="dxa" w:w="18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2°</w:t>
            </w:r>
          </w:p>
        </w:tc>
        <w:tc>
          <w:tcPr>
            <w:tcW w:type="dxa" w:w="40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40"/>
            </w:pPr>
            <w:r>
              <w:rPr>
                <w:rFonts w:ascii="Arial" w:cs="Arial" w:eastAsia="Arial" w:hAnsi="Arial"/>
                <w:color w:val="1B2430"/>
                <w:sz w:val="19"/>
                <w:szCs w:val="19"/>
              </w:rPr>
              <w:t xml:space="preserve">U3 · Software y SO</w:t>
            </w:r>
          </w:p>
          <w:p>
            <w:pPr>
              <w:spacing w:after="0"/>
            </w:pPr>
            <w:r>
              <w:rPr>
                <w:rFonts w:ascii="Arial" w:cs="Arial" w:eastAsia="Arial" w:hAnsi="Arial"/>
                <w:color w:val="1B2430"/>
                <w:sz w:val="19"/>
                <w:szCs w:val="19"/>
              </w:rPr>
              <w:t xml:space="preserve">U4 · Productividad (parte 1)</w:t>
            </w:r>
          </w:p>
        </w:tc>
        <w:tc>
          <w:tcPr>
            <w:tcW w:type="dxa" w:w="140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0"/>
            </w:pPr>
            <w:r>
              <w:rPr>
                <w:rFonts w:ascii="Arial" w:cs="Arial" w:eastAsia="Arial" w:hAnsi="Arial"/>
                <w:color w:val="1B2430"/>
                <w:sz w:val="19"/>
                <w:szCs w:val="19"/>
              </w:rPr>
              <w:t xml:space="preserve">18 hs</w:t>
            </w:r>
          </w:p>
        </w:tc>
        <w:tc>
          <w:tcPr>
            <w:tcW w:type="dxa" w:w="2160"/>
            <w:tcBorders>
              <w:top w:val="single" w:color="D9CDB6" w:sz="4"/>
              <w:left w:val="single" w:color="D9CDB6" w:sz="4"/>
              <w:bottom w:val="single" w:color="D9CDB6" w:sz="4"/>
              <w:right w:val="single" w:color="D9CDB6" w:sz="4"/>
            </w:tcBorders>
            <w:shd w:fill="F6F1E7" w:val="clear"/>
            <w:tcMar>
              <w:top w:type="dxa" w:w="100"/>
              <w:left w:type="dxa" w:w="120"/>
              <w:bottom w:type="dxa" w:w="100"/>
              <w:right w:type="dxa" w:w="120"/>
            </w:tcMar>
          </w:tcPr>
          <w:p>
            <w:pPr>
              <w:spacing w:after="40"/>
            </w:pPr>
            <w:r>
              <w:rPr>
                <w:rFonts w:ascii="Arial" w:cs="Arial" w:eastAsia="Arial" w:hAnsi="Arial"/>
                <w:color w:val="1B2430"/>
                <w:sz w:val="19"/>
                <w:szCs w:val="19"/>
              </w:rPr>
              <w:t xml:space="preserve">2° examen integrador</w:t>
            </w:r>
          </w:p>
          <w:p>
            <w:pPr>
              <w:spacing w:after="0"/>
            </w:pPr>
            <w:r>
              <w:rPr>
                <w:rFonts w:ascii="Arial" w:cs="Arial" w:eastAsia="Arial" w:hAnsi="Arial"/>
                <w:color w:val="1B2430"/>
                <w:sz w:val="19"/>
                <w:szCs w:val="19"/>
              </w:rPr>
              <w:t xml:space="preserve">CV en el portafolio</w:t>
            </w:r>
          </w:p>
        </w:tc>
      </w:tr>
      <w:tr>
        <w:tc>
          <w:tcPr>
            <w:tcW w:type="dxa" w:w="18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3°</w:t>
            </w:r>
          </w:p>
        </w:tc>
        <w:tc>
          <w:tcPr>
            <w:tcW w:type="dxa" w:w="40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40"/>
            </w:pPr>
            <w:r>
              <w:rPr>
                <w:rFonts w:ascii="Arial" w:cs="Arial" w:eastAsia="Arial" w:hAnsi="Arial"/>
                <w:color w:val="1B2430"/>
                <w:sz w:val="19"/>
                <w:szCs w:val="19"/>
              </w:rPr>
              <w:t xml:space="preserve">U4 · Productividad (cierre)</w:t>
            </w:r>
          </w:p>
          <w:p>
            <w:pPr>
              <w:spacing w:after="40"/>
            </w:pPr>
            <w:r>
              <w:rPr>
                <w:rFonts w:ascii="Arial" w:cs="Arial" w:eastAsia="Arial" w:hAnsi="Arial"/>
                <w:color w:val="1B2430"/>
                <w:sz w:val="19"/>
                <w:szCs w:val="19"/>
              </w:rPr>
              <w:t xml:space="preserve">U5 · Pens. computacional</w:t>
            </w:r>
          </w:p>
          <w:p>
            <w:pPr>
              <w:spacing w:after="0"/>
            </w:pPr>
            <w:r>
              <w:rPr>
                <w:rFonts w:ascii="Arial" w:cs="Arial" w:eastAsia="Arial" w:hAnsi="Arial"/>
                <w:color w:val="1B2430"/>
                <w:sz w:val="19"/>
                <w:szCs w:val="19"/>
              </w:rPr>
              <w:t xml:space="preserve">U6 · IA y trabajo</w:t>
            </w:r>
          </w:p>
        </w:tc>
        <w:tc>
          <w:tcPr>
            <w:tcW w:type="dxa" w:w="140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0"/>
            </w:pPr>
            <w:r>
              <w:rPr>
                <w:rFonts w:ascii="Arial" w:cs="Arial" w:eastAsia="Arial" w:hAnsi="Arial"/>
                <w:color w:val="1B2430"/>
                <w:sz w:val="19"/>
                <w:szCs w:val="19"/>
              </w:rPr>
              <w:t xml:space="preserve">22 hs</w:t>
            </w:r>
          </w:p>
        </w:tc>
        <w:tc>
          <w:tcPr>
            <w:tcW w:type="dxa" w:w="2160"/>
            <w:tcBorders>
              <w:top w:val="single" w:color="D9CDB6" w:sz="4"/>
              <w:left w:val="single" w:color="D9CDB6" w:sz="4"/>
              <w:bottom w:val="single" w:color="D9CDB6" w:sz="4"/>
              <w:right w:val="single" w:color="D9CDB6" w:sz="4"/>
            </w:tcBorders>
            <w:shd w:fill="FFFFFF" w:val="clear"/>
            <w:tcMar>
              <w:top w:type="dxa" w:w="100"/>
              <w:left w:type="dxa" w:w="120"/>
              <w:bottom w:type="dxa" w:w="100"/>
              <w:right w:type="dxa" w:w="120"/>
            </w:tcMar>
          </w:tcPr>
          <w:p>
            <w:pPr>
              <w:spacing w:after="40"/>
            </w:pPr>
            <w:r>
              <w:rPr>
                <w:rFonts w:ascii="Arial" w:cs="Arial" w:eastAsia="Arial" w:hAnsi="Arial"/>
                <w:color w:val="1B2430"/>
                <w:sz w:val="19"/>
                <w:szCs w:val="19"/>
              </w:rPr>
              <w:t xml:space="preserve">3er examen integrador</w:t>
            </w:r>
          </w:p>
          <w:p>
            <w:pPr>
              <w:spacing w:after="0"/>
            </w:pPr>
            <w:r>
              <w:rPr>
                <w:rFonts w:ascii="Arial" w:cs="Arial" w:eastAsia="Arial" w:hAnsi="Arial"/>
                <w:color w:val="1B2430"/>
                <w:sz w:val="19"/>
                <w:szCs w:val="19"/>
              </w:rPr>
              <w:t xml:space="preserve">Portafolio completo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632F" w:sz="4"/>
              <w:left w:val="single" w:color="C1632F" w:sz="24"/>
              <w:bottom w:val="single" w:color="C1632F" w:sz="4"/>
              <w:right w:val="single" w:color="C1632F" w:sz="4"/>
            </w:tcBorders>
            <w:shd w:fill="FFF4E0" w:val="clear"/>
            <w:tcMar>
              <w:top w:type="dxa" w:w="200"/>
              <w:left w:type="dxa" w:w="300"/>
              <w:bottom w:type="dxa" w:w="200"/>
              <w:right w:type="dxa" w:w="300"/>
            </w:tcMar>
          </w:tcPr>
          <w:p>
            <w:pPr>
              <w:spacing w:after="100"/>
            </w:pPr>
            <w:r>
              <w:rPr>
                <w:rFonts w:ascii="Arial" w:cs="Arial" w:eastAsia="Arial" w:hAnsi="Arial"/>
                <w:b/>
                <w:bCs/>
                <w:color w:val="C1632F"/>
                <w:sz w:val="22"/>
                <w:szCs w:val="22"/>
              </w:rPr>
              <w:t xml:space="preserve">Sobre los ritmos</w:t>
            </w:r>
          </w:p>
          <w:p>
            <w:pPr>
              <w:spacing w:after="80"/>
            </w:pPr>
            <w:r>
              <w:rPr>
                <w:rFonts w:ascii="Arial" w:cs="Arial" w:eastAsia="Arial" w:hAnsi="Arial"/>
                <w:color w:val="1B2430"/>
                <w:sz w:val="20"/>
                <w:szCs w:val="20"/>
              </w:rPr>
              <w:t xml:space="preserve">El cronograma asume un ritmo razonable para el grupo promedio de E.P.J.A. En la práctica, la Unidad 4 (Productividad e Internet) suele expandirse porque es la más útil para la vida cotidiana del estudiante. No tengas miedo de dedicarle más tiempo y comprimir la Unidad 5 si hace falta.</w:t>
            </w:r>
          </w:p>
          <w:p>
            <w:pPr>
              <w:spacing w:after="80"/>
            </w:pPr>
            <w:r>
              <w:rPr>
                <w:rFonts w:ascii="Arial" w:cs="Arial" w:eastAsia="Arial" w:hAnsi="Arial"/>
                <w:color w:val="1B2430"/>
                <w:sz w:val="20"/>
                <w:szCs w:val="20"/>
              </w:rPr>
              <w:t xml:space="preserve">La Unidad 6 (IA) puede dictarse compacta en las últimas 3 a 4 semanas del año. Es liviana en lo conceptual pero rica en discusión grupal.</w:t>
            </w:r>
          </w:p>
        </w:tc>
      </w:tr>
    </w:tbl>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5.  Decisiones pedagógicas detrás del diseño</w:t>
      </w:r>
    </w:p>
    <w:p>
      <w:pPr>
        <w:spacing w:after="120" w:before="0"/>
        <w:jc w:val="left"/>
      </w:pPr>
      <w:r>
        <w:rPr>
          <w:rFonts w:ascii="Arial" w:cs="Arial" w:eastAsia="Arial" w:hAnsi="Arial"/>
          <w:b w:val="false"/>
          <w:bCs w:val="false"/>
          <w:i w:val="false"/>
          <w:iCs w:val="false"/>
          <w:color w:val="1B2430"/>
          <w:sz w:val="22"/>
          <w:szCs w:val="22"/>
        </w:rPr>
        <w:t xml:space="preserve">Algunas decisiones no son obvias mirando el material. Quedan documentadas acá para que el próximo docente las entienda y pueda mantenerlas, modificarlas o reemplazarlas con criterio.</w:t>
      </w:r>
    </w:p>
    <w:p>
      <w:pPr>
        <w:pStyle w:val="Heading3"/>
        <w:spacing w:after="100" w:before="200"/>
      </w:pPr>
      <w:r>
        <w:rPr>
          <w:rFonts w:ascii="Arial" w:cs="Arial" w:eastAsia="Arial" w:hAnsi="Arial"/>
          <w:b/>
          <w:bCs/>
          <w:color w:val="C1632F"/>
          <w:sz w:val="24"/>
          <w:szCs w:val="24"/>
        </w:rPr>
        <w:t xml:space="preserve">Por qué el portafolio digital atraviesa todo el año</w:t>
      </w:r>
    </w:p>
    <w:p>
      <w:pPr>
        <w:spacing w:after="120" w:before="0"/>
        <w:jc w:val="left"/>
      </w:pPr>
      <w:r>
        <w:rPr>
          <w:rFonts w:ascii="Arial" w:cs="Arial" w:eastAsia="Arial" w:hAnsi="Arial"/>
          <w:b w:val="false"/>
          <w:bCs w:val="false"/>
          <w:i w:val="false"/>
          <w:iCs w:val="false"/>
          <w:color w:val="1B2430"/>
          <w:sz w:val="22"/>
          <w:szCs w:val="22"/>
        </w:rPr>
        <w:t xml:space="preserve">En E.P.J.A. el estudiante adulto necesita ver progreso concreto. El portafolio le permite acumular evidencia visible de lo que aprende: su CV, una planilla funcional, un análisis de fuentes, un esquema de algoritmo, una reflexión sobre IA. Al final del año tiene una carpeta digital que demuestra a sí mismo y a otros lo que sabe hacer. Es además su mejor herramienta cuando se postula a un trabajo.</w:t>
      </w:r>
    </w:p>
    <w:p>
      <w:pPr>
        <w:pStyle w:val="Heading3"/>
        <w:spacing w:after="100" w:before="200"/>
      </w:pPr>
      <w:r>
        <w:rPr>
          <w:rFonts w:ascii="Arial" w:cs="Arial" w:eastAsia="Arial" w:hAnsi="Arial"/>
          <w:b/>
          <w:bCs/>
          <w:color w:val="C1632F"/>
          <w:sz w:val="24"/>
          <w:szCs w:val="24"/>
        </w:rPr>
        <w:t xml:space="preserve">Por qué la Unidad 4 tiene más carga horaria</w:t>
      </w:r>
    </w:p>
    <w:p>
      <w:pPr>
        <w:spacing w:after="120" w:before="0"/>
        <w:jc w:val="left"/>
      </w:pPr>
      <w:r>
        <w:rPr>
          <w:rFonts w:ascii="Arial" w:cs="Arial" w:eastAsia="Arial" w:hAnsi="Arial"/>
          <w:b w:val="false"/>
          <w:bCs w:val="false"/>
          <w:i w:val="false"/>
          <w:iCs w:val="false"/>
          <w:color w:val="1B2430"/>
          <w:sz w:val="22"/>
          <w:szCs w:val="22"/>
        </w:rPr>
        <w:t xml:space="preserve">Productividad e Internet es la unidad de aplicación más directa: CV, correo profesional, búsqueda eficaz, trámites en línea, seguridad digital. Para un estudiante adulto que vuelve a estudiar, esto es lo que necesita esta semana, no en el futuro. Tiene sentido darle más tiempo.</w:t>
      </w:r>
    </w:p>
    <w:p>
      <w:pPr>
        <w:pStyle w:val="Heading3"/>
        <w:spacing w:after="100" w:before="200"/>
      </w:pPr>
      <w:r>
        <w:rPr>
          <w:rFonts w:ascii="Arial" w:cs="Arial" w:eastAsia="Arial" w:hAnsi="Arial"/>
          <w:b/>
          <w:bCs/>
          <w:color w:val="C1632F"/>
          <w:sz w:val="24"/>
          <w:szCs w:val="24"/>
        </w:rPr>
        <w:t xml:space="preserve">Por qué la IA va al final del año</w:t>
      </w:r>
    </w:p>
    <w:p>
      <w:pPr>
        <w:spacing w:after="120" w:before="0"/>
        <w:jc w:val="left"/>
      </w:pPr>
      <w:r>
        <w:rPr>
          <w:rFonts w:ascii="Arial" w:cs="Arial" w:eastAsia="Arial" w:hAnsi="Arial"/>
          <w:b w:val="false"/>
          <w:bCs w:val="false"/>
          <w:i w:val="false"/>
          <w:iCs w:val="false"/>
          <w:color w:val="1B2430"/>
          <w:sz w:val="22"/>
          <w:szCs w:val="22"/>
        </w:rPr>
        <w:t xml:space="preserve">Para discutir IA con sentido crítico, el estudiante necesita primero saber qué es información, cómo se procesan los datos, qué es un algoritmo, qué riesgos hay en lo digital. Sin esa base, la unidad de IA se reduce a entusiasmo o miedo sin contenido. Al final del año, los conceptos están maduros y la discusión es real.</w:t>
      </w:r>
    </w:p>
    <w:p>
      <w:pPr>
        <w:pStyle w:val="Heading3"/>
        <w:spacing w:after="100" w:before="200"/>
      </w:pPr>
      <w:r>
        <w:rPr>
          <w:rFonts w:ascii="Arial" w:cs="Arial" w:eastAsia="Arial" w:hAnsi="Arial"/>
          <w:b/>
          <w:bCs/>
          <w:color w:val="C1632F"/>
          <w:sz w:val="24"/>
          <w:szCs w:val="24"/>
        </w:rPr>
        <w:t xml:space="preserve">Por qué Scratch como primer entorno de programación</w:t>
      </w:r>
    </w:p>
    <w:p>
      <w:pPr>
        <w:spacing w:after="120" w:before="0"/>
        <w:jc w:val="left"/>
      </w:pPr>
      <w:r>
        <w:rPr>
          <w:rFonts w:ascii="Arial" w:cs="Arial" w:eastAsia="Arial" w:hAnsi="Arial"/>
          <w:b w:val="false"/>
          <w:bCs w:val="false"/>
          <w:i w:val="false"/>
          <w:iCs w:val="false"/>
          <w:color w:val="1B2430"/>
          <w:sz w:val="22"/>
          <w:szCs w:val="22"/>
        </w:rPr>
        <w:t xml:space="preserve">Es libre, gratuito, online (no hay que instalar nada), funciona en cualquier navegador y permite programar sin escribir código. Para alumnos que probablemente nunca programaron, baja el umbral de entrada al mínimo. La sintaxis y los conceptos se trasladan después a lenguajes “reales” en Programación Lógica de 2° año.</w:t>
      </w:r>
    </w:p>
    <w:p>
      <w:pPr>
        <w:pStyle w:val="Heading3"/>
        <w:spacing w:after="100" w:before="200"/>
      </w:pPr>
      <w:r>
        <w:rPr>
          <w:rFonts w:ascii="Arial" w:cs="Arial" w:eastAsia="Arial" w:hAnsi="Arial"/>
          <w:b/>
          <w:bCs/>
          <w:color w:val="C1632F"/>
          <w:sz w:val="24"/>
          <w:szCs w:val="24"/>
        </w:rPr>
        <w:t xml:space="preserve">Por qué se enfatiza el software libre</w:t>
      </w:r>
    </w:p>
    <w:p>
      <w:pPr>
        <w:spacing w:after="120" w:before="0"/>
        <w:jc w:val="left"/>
      </w:pPr>
      <w:r>
        <w:rPr>
          <w:rFonts w:ascii="Arial" w:cs="Arial" w:eastAsia="Arial" w:hAnsi="Arial"/>
          <w:b w:val="false"/>
          <w:bCs w:val="false"/>
          <w:i w:val="false"/>
          <w:iCs w:val="false"/>
          <w:color w:val="1B2430"/>
          <w:sz w:val="22"/>
          <w:szCs w:val="22"/>
        </w:rPr>
        <w:t xml:space="preserve">Los alumnos de E.P.J.A. casi siempre tienen presupuesto ajustado. Saber que LibreOffice hace lo mismo que Microsoft Office, que GIMP reemplaza a Photoshop, que Linux es una alternativa real a Windows, es una herramienta concreta de autonomía económica. No es una cuestión ideológica: es práctica.</w:t>
      </w:r>
    </w:p>
    <w:p>
      <w:pPr>
        <w:pStyle w:val="Heading3"/>
        <w:spacing w:after="100" w:before="200"/>
      </w:pPr>
      <w:r>
        <w:rPr>
          <w:rFonts w:ascii="Arial" w:cs="Arial" w:eastAsia="Arial" w:hAnsi="Arial"/>
          <w:b/>
          <w:bCs/>
          <w:color w:val="C1632F"/>
          <w:sz w:val="24"/>
          <w:szCs w:val="24"/>
        </w:rPr>
        <w:t xml:space="preserve">Por qué los ejemplos son tan localizados</w:t>
      </w:r>
    </w:p>
    <w:p>
      <w:pPr>
        <w:spacing w:after="120" w:before="0"/>
        <w:jc w:val="left"/>
      </w:pPr>
      <w:r>
        <w:rPr>
          <w:rFonts w:ascii="Arial" w:cs="Arial" w:eastAsia="Arial" w:hAnsi="Arial"/>
          <w:b w:val="false"/>
          <w:bCs w:val="false"/>
          <w:i w:val="false"/>
          <w:iCs w:val="false"/>
          <w:color w:val="1B2430"/>
          <w:sz w:val="22"/>
          <w:szCs w:val="22"/>
        </w:rPr>
        <w:t xml:space="preserve">Cuando se enseña con ejemplos genéricos (“una empresa hipotética”, “un usuario X”), el estudiante adulto desconecta. Cuando los ejemplos hablan de un kiosco, de Misiones, de ANSES, de ARCA, del mate, del oficio del electricista, el estudiante reconoce su realidad y se involucra. Todo el material está localizado a propósito.</w:t>
      </w:r>
    </w:p>
    <w:p>
      <w:pPr>
        <w:pStyle w:val="Heading3"/>
        <w:spacing w:after="100" w:before="200"/>
      </w:pPr>
      <w:r>
        <w:rPr>
          <w:rFonts w:ascii="Arial" w:cs="Arial" w:eastAsia="Arial" w:hAnsi="Arial"/>
          <w:b/>
          <w:bCs/>
          <w:color w:val="C1632F"/>
          <w:sz w:val="24"/>
          <w:szCs w:val="24"/>
        </w:rPr>
        <w:t xml:space="preserve">Por qué se articula explícitamente con 2° y 3° año</w:t>
      </w:r>
    </w:p>
    <w:p>
      <w:pPr>
        <w:spacing w:after="120" w:before="0"/>
        <w:jc w:val="left"/>
      </w:pPr>
      <w:r>
        <w:rPr>
          <w:rFonts w:ascii="Arial" w:cs="Arial" w:eastAsia="Arial" w:hAnsi="Arial"/>
          <w:b w:val="false"/>
          <w:bCs w:val="false"/>
          <w:i w:val="false"/>
          <w:iCs w:val="false"/>
          <w:color w:val="1B2430"/>
          <w:sz w:val="22"/>
          <w:szCs w:val="22"/>
        </w:rPr>
        <w:t xml:space="preserve">El estudiante de 1° E.P.J.A. está pensando si vale la pena el esfuerzo. Mostrarle que lo de esta unidad lo va a usar en Taller de Mantenimiento, lo de la siguiente en Programación Lógica, lo de aquella en Diseño Web — es una forma de decirle: estás construyendo algo que tiene continuidad. No estás juntando saberes sueltos.</w:t>
      </w:r>
    </w:p>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6.  Notas técnicas</w:t>
      </w:r>
    </w:p>
    <w:p>
      <w:pPr>
        <w:pStyle w:val="Heading3"/>
        <w:spacing w:after="100" w:before="200"/>
      </w:pPr>
      <w:r>
        <w:rPr>
          <w:rFonts w:ascii="Arial" w:cs="Arial" w:eastAsia="Arial" w:hAnsi="Arial"/>
          <w:b/>
          <w:bCs/>
          <w:color w:val="C1632F"/>
          <w:sz w:val="24"/>
          <w:szCs w:val="24"/>
        </w:rPr>
        <w:t xml:space="preserve">Editar el material</w:t>
      </w:r>
    </w:p>
    <w:p>
      <w:pPr>
        <w:spacing w:after="120" w:before="0"/>
        <w:jc w:val="left"/>
      </w:pPr>
      <w:r>
        <w:rPr>
          <w:rFonts w:ascii="Arial" w:cs="Arial" w:eastAsia="Arial" w:hAnsi="Arial"/>
          <w:b w:val="false"/>
          <w:bCs w:val="false"/>
          <w:i w:val="false"/>
          <w:iCs w:val="false"/>
          <w:color w:val="1B2430"/>
          <w:sz w:val="22"/>
          <w:szCs w:val="22"/>
        </w:rPr>
        <w:t xml:space="preserve">Todos los archivos son editables:</w:t>
      </w:r>
    </w:p>
    <w:p>
      <w:pPr>
        <w:pStyle w:val="ListParagraph"/>
        <w:numPr>
          <w:ilvl w:val="0"/>
          <w:numId w:val="2"/>
        </w:numPr>
        <w:spacing w:after="80"/>
      </w:pPr>
      <w:r>
        <w:rPr>
          <w:rFonts w:ascii="Arial" w:cs="Arial" w:eastAsia="Arial" w:hAnsi="Arial"/>
          <w:color w:val="1B2430"/>
          <w:sz w:val="22"/>
          <w:szCs w:val="22"/>
        </w:rPr>
        <w:t xml:space="preserve">Documentos .docx: Microsoft Word, LibreOffice Writer, Google Docs (subiendo el archivo).</w:t>
      </w:r>
    </w:p>
    <w:p>
      <w:pPr>
        <w:pStyle w:val="ListParagraph"/>
        <w:numPr>
          <w:ilvl w:val="0"/>
          <w:numId w:val="2"/>
        </w:numPr>
        <w:spacing w:after="80"/>
      </w:pPr>
      <w:r>
        <w:rPr>
          <w:rFonts w:ascii="Arial" w:cs="Arial" w:eastAsia="Arial" w:hAnsi="Arial"/>
          <w:color w:val="1B2430"/>
          <w:sz w:val="22"/>
          <w:szCs w:val="22"/>
        </w:rPr>
        <w:t xml:space="preserve">Presentaciones .pptx: Microsoft PowerPoint, LibreOffice Impress, Keynote, Google Slides.</w:t>
      </w:r>
    </w:p>
    <w:p>
      <w:pPr>
        <w:pStyle w:val="ListParagraph"/>
        <w:numPr>
          <w:ilvl w:val="0"/>
          <w:numId w:val="2"/>
        </w:numPr>
        <w:spacing w:after="80"/>
      </w:pPr>
      <w:r>
        <w:rPr>
          <w:rFonts w:ascii="Arial" w:cs="Arial" w:eastAsia="Arial" w:hAnsi="Arial"/>
          <w:color w:val="1B2430"/>
          <w:sz w:val="22"/>
          <w:szCs w:val="22"/>
        </w:rPr>
        <w:t xml:space="preserve">Páginas .html: cualquier editor de texto (Notepad++, VS Code, hasta el Bloc de Notas) o un editor visual como Pingendo.</w:t>
      </w:r>
    </w:p>
    <w:p>
      <w:pPr>
        <w:pStyle w:val="Heading3"/>
        <w:spacing w:after="100" w:before="200"/>
      </w:pPr>
      <w:r>
        <w:rPr>
          <w:rFonts w:ascii="Arial" w:cs="Arial" w:eastAsia="Arial" w:hAnsi="Arial"/>
          <w:b/>
          <w:bCs/>
          <w:color w:val="C1632F"/>
          <w:sz w:val="24"/>
          <w:szCs w:val="24"/>
        </w:rPr>
        <w:t xml:space="preserve">Subir el portal a Internet (gratis)</w:t>
      </w:r>
    </w:p>
    <w:p>
      <w:pPr>
        <w:pStyle w:val="ListParagraph"/>
        <w:numPr>
          <w:ilvl w:val="0"/>
          <w:numId w:val="2"/>
        </w:numPr>
        <w:spacing w:after="80"/>
      </w:pPr>
      <w:r>
        <w:rPr>
          <w:rFonts w:ascii="Arial" w:cs="Arial" w:eastAsia="Arial" w:hAnsi="Arial"/>
          <w:color w:val="1B2430"/>
          <w:sz w:val="22"/>
          <w:szCs w:val="22"/>
        </w:rPr>
        <w:t xml:space="preserve">Ir a netlify.com/drop</w:t>
      </w:r>
    </w:p>
    <w:p>
      <w:pPr>
        <w:pStyle w:val="ListParagraph"/>
        <w:numPr>
          <w:ilvl w:val="0"/>
          <w:numId w:val="2"/>
        </w:numPr>
        <w:spacing w:after="80"/>
      </w:pPr>
      <w:r>
        <w:rPr>
          <w:rFonts w:ascii="Arial" w:cs="Arial" w:eastAsia="Arial" w:hAnsi="Arial"/>
          <w:color w:val="1B2430"/>
          <w:sz w:val="22"/>
          <w:szCs w:val="22"/>
        </w:rPr>
        <w:t xml:space="preserve">Arrastrar la carpeta completa con los 7 archivos HTML al área indicada.</w:t>
      </w:r>
    </w:p>
    <w:p>
      <w:pPr>
        <w:pStyle w:val="ListParagraph"/>
        <w:numPr>
          <w:ilvl w:val="0"/>
          <w:numId w:val="2"/>
        </w:numPr>
        <w:spacing w:after="80"/>
      </w:pPr>
      <w:r>
        <w:rPr>
          <w:rFonts w:ascii="Arial" w:cs="Arial" w:eastAsia="Arial" w:hAnsi="Arial"/>
          <w:color w:val="1B2430"/>
          <w:sz w:val="22"/>
          <w:szCs w:val="22"/>
        </w:rPr>
        <w:t xml:space="preserve">Netlify genera automáticamente una URL pública del tipo nombre-aleatorio.netlify.app</w:t>
      </w:r>
    </w:p>
    <w:p>
      <w:pPr>
        <w:pStyle w:val="ListParagraph"/>
        <w:numPr>
          <w:ilvl w:val="0"/>
          <w:numId w:val="2"/>
        </w:numPr>
        <w:spacing w:after="80"/>
      </w:pPr>
      <w:r>
        <w:rPr>
          <w:rFonts w:ascii="Arial" w:cs="Arial" w:eastAsia="Arial" w:hAnsi="Arial"/>
          <w:color w:val="1B2430"/>
          <w:sz w:val="22"/>
          <w:szCs w:val="22"/>
        </w:rPr>
        <w:t xml:space="preserve">Esa URL ya se puede compartir con los estudiantes por WhatsApp.</w:t>
      </w:r>
    </w:p>
    <w:p>
      <w:pPr>
        <w:spacing w:after="120" w:before="0"/>
        <w:jc w:val="left"/>
      </w:pPr>
      <w:r>
        <w:rPr>
          <w:rFonts w:ascii="Arial" w:cs="Arial" w:eastAsia="Arial" w:hAnsi="Arial"/>
          <w:b w:val="false"/>
          <w:bCs w:val="false"/>
          <w:i/>
          <w:iCs/>
          <w:color w:val="8A8276"/>
          <w:sz w:val="22"/>
          <w:szCs w:val="22"/>
        </w:rPr>
        <w:t xml:space="preserve">Si más adelante se quiere una URL más prolija (por ejemplo: informatica-epet7.netlify.app), se crea una cuenta gratis y se renombra el sitio.</w:t>
      </w:r>
    </w:p>
    <w:p>
      <w:pPr>
        <w:pStyle w:val="Heading3"/>
        <w:spacing w:after="100" w:before="200"/>
      </w:pPr>
      <w:r>
        <w:rPr>
          <w:rFonts w:ascii="Arial" w:cs="Arial" w:eastAsia="Arial" w:hAnsi="Arial"/>
          <w:b/>
          <w:bCs/>
          <w:color w:val="C1632F"/>
          <w:sz w:val="24"/>
          <w:szCs w:val="24"/>
        </w:rPr>
        <w:t xml:space="preserve">Imprimir el cuadernillo</w:t>
      </w:r>
    </w:p>
    <w:p>
      <w:pPr>
        <w:spacing w:after="120" w:before="0"/>
        <w:jc w:val="left"/>
      </w:pPr>
      <w:r>
        <w:rPr>
          <w:rFonts w:ascii="Arial" w:cs="Arial" w:eastAsia="Arial" w:hAnsi="Arial"/>
          <w:b w:val="false"/>
          <w:bCs w:val="false"/>
          <w:i w:val="false"/>
          <w:iCs w:val="false"/>
          <w:color w:val="1B2430"/>
          <w:sz w:val="22"/>
          <w:szCs w:val="22"/>
        </w:rPr>
        <w:t xml:space="preserve">El cuadernillo está pensado para impresión a doble faz, anillado, en papel A4 común. Es de aproximadamente 90 a 110 carillas. Conviene cotizar en imprenta local antes que en fotocopiadora de barrio: a partir de 15 a 20 ejemplares suele convenir.</w:t>
      </w:r>
    </w:p>
    <w:p>
      <w:pPr>
        <w:pStyle w:val="Heading3"/>
        <w:spacing w:after="100" w:before="200"/>
      </w:pPr>
      <w:r>
        <w:rPr>
          <w:rFonts w:ascii="Arial" w:cs="Arial" w:eastAsia="Arial" w:hAnsi="Arial"/>
          <w:b/>
          <w:bCs/>
          <w:color w:val="C1632F"/>
          <w:sz w:val="24"/>
          <w:szCs w:val="24"/>
        </w:rPr>
        <w:t xml:space="preserve">Si la pantalla del proyector es muy chica o muy lejos</w:t>
      </w:r>
    </w:p>
    <w:p>
      <w:pPr>
        <w:spacing w:after="120" w:before="0"/>
        <w:jc w:val="left"/>
      </w:pPr>
      <w:r>
        <w:rPr>
          <w:rFonts w:ascii="Arial" w:cs="Arial" w:eastAsia="Arial" w:hAnsi="Arial"/>
          <w:b w:val="false"/>
          <w:bCs w:val="false"/>
          <w:i w:val="false"/>
          <w:iCs w:val="false"/>
          <w:color w:val="1B2430"/>
          <w:sz w:val="22"/>
          <w:szCs w:val="22"/>
        </w:rPr>
        <w:t xml:space="preserve">Las presentaciones usan tipografía grande (mínimo 16 puntos en cuerpo, 36+ en títulos). Probadas en pantallas chicas se leen bien. Si igual se ve chico, lo más rápido es bajar la resolución de pantalla del proyector o achicar el zoom del PDF antes de proyectar.</w:t>
      </w:r>
    </w:p>
    <w:p>
      <w:r>
        <w:br w:type="page"/>
      </w:r>
    </w:p>
    <w:p>
      <w:pPr>
        <w:pStyle w:val="Heading1"/>
        <w:pBdr>
          <w:bottom w:val="single" w:color="C1632F" w:sz="8" w:space="4"/>
        </w:pBdr>
        <w:spacing w:after="200" w:before="360"/>
      </w:pPr>
      <w:r>
        <w:rPr>
          <w:rFonts w:ascii="Arial" w:cs="Arial" w:eastAsia="Arial" w:hAnsi="Arial"/>
          <w:b/>
          <w:bCs/>
          <w:color w:val="1F4E79"/>
          <w:sz w:val="36"/>
          <w:szCs w:val="36"/>
        </w:rPr>
        <w:t xml:space="preserve">7.  Para próximos años</w:t>
      </w:r>
    </w:p>
    <w:p>
      <w:pPr>
        <w:pStyle w:val="Heading3"/>
        <w:spacing w:after="100" w:before="200"/>
      </w:pPr>
      <w:r>
        <w:rPr>
          <w:rFonts w:ascii="Arial" w:cs="Arial" w:eastAsia="Arial" w:hAnsi="Arial"/>
          <w:b/>
          <w:bCs/>
          <w:color w:val="C1632F"/>
          <w:sz w:val="24"/>
          <w:szCs w:val="24"/>
        </w:rPr>
        <w:t xml:space="preserve">Qué actualizar año a año</w:t>
      </w:r>
    </w:p>
    <w:p>
      <w:pPr>
        <w:pStyle w:val="ListParagraph"/>
        <w:numPr>
          <w:ilvl w:val="0"/>
          <w:numId w:val="2"/>
        </w:numPr>
        <w:spacing w:after="80"/>
      </w:pPr>
      <w:r>
        <w:rPr>
          <w:rFonts w:ascii="Arial" w:cs="Arial" w:eastAsia="Arial" w:hAnsi="Arial"/>
          <w:color w:val="1B2430"/>
          <w:sz w:val="22"/>
          <w:szCs w:val="22"/>
        </w:rPr>
        <w:t xml:space="preserve">Fechas y referencias temporales (“Ciclo lectivo 2026”, “recientemente”, etc.)</w:t>
      </w:r>
    </w:p>
    <w:p>
      <w:pPr>
        <w:pStyle w:val="ListParagraph"/>
        <w:numPr>
          <w:ilvl w:val="0"/>
          <w:numId w:val="2"/>
        </w:numPr>
        <w:spacing w:after="80"/>
      </w:pPr>
      <w:r>
        <w:rPr>
          <w:rFonts w:ascii="Arial" w:cs="Arial" w:eastAsia="Arial" w:hAnsi="Arial"/>
          <w:color w:val="1B2430"/>
          <w:sz w:val="22"/>
          <w:szCs w:val="22"/>
        </w:rPr>
        <w:t xml:space="preserve">Datos específicos de plataformas argentinas (Mi Argentina, ANSES, ARCA suelen cambiar de interfaz o nombre).</w:t>
      </w:r>
    </w:p>
    <w:p>
      <w:pPr>
        <w:pStyle w:val="ListParagraph"/>
        <w:numPr>
          <w:ilvl w:val="0"/>
          <w:numId w:val="2"/>
        </w:numPr>
        <w:spacing w:after="80"/>
      </w:pPr>
      <w:r>
        <w:rPr>
          <w:rFonts w:ascii="Arial" w:cs="Arial" w:eastAsia="Arial" w:hAnsi="Arial"/>
          <w:color w:val="1B2430"/>
          <w:sz w:val="22"/>
          <w:szCs w:val="22"/>
        </w:rPr>
        <w:t xml:space="preserve">Asistentes de IA (la lista de la Unidad 6 cambia rápido: nombres, versiones, capacidades).</w:t>
      </w:r>
    </w:p>
    <w:p>
      <w:pPr>
        <w:pStyle w:val="ListParagraph"/>
        <w:numPr>
          <w:ilvl w:val="0"/>
          <w:numId w:val="2"/>
        </w:numPr>
        <w:spacing w:after="80"/>
      </w:pPr>
      <w:r>
        <w:rPr>
          <w:rFonts w:ascii="Arial" w:cs="Arial" w:eastAsia="Arial" w:hAnsi="Arial"/>
          <w:color w:val="1B2430"/>
          <w:sz w:val="22"/>
          <w:szCs w:val="22"/>
        </w:rPr>
        <w:t xml:space="preserve">Ejemplos de precios y costos (sueldos, presupuestos, ejemplos de planillas).</w:t>
      </w:r>
    </w:p>
    <w:p>
      <w:pPr>
        <w:pStyle w:val="ListParagraph"/>
        <w:numPr>
          <w:ilvl w:val="0"/>
          <w:numId w:val="2"/>
        </w:numPr>
        <w:spacing w:after="80"/>
      </w:pPr>
      <w:r>
        <w:rPr>
          <w:rFonts w:ascii="Arial" w:cs="Arial" w:eastAsia="Arial" w:hAnsi="Arial"/>
          <w:color w:val="1B2430"/>
          <w:sz w:val="22"/>
          <w:szCs w:val="22"/>
        </w:rPr>
        <w:t xml:space="preserve">Versiones de sistemas operativos (Windows 11 → 12 cuando salga).</w:t>
      </w:r>
    </w:p>
    <w:p>
      <w:pPr>
        <w:pStyle w:val="Heading3"/>
        <w:spacing w:after="100" w:before="200"/>
      </w:pPr>
      <w:r>
        <w:rPr>
          <w:rFonts w:ascii="Arial" w:cs="Arial" w:eastAsia="Arial" w:hAnsi="Arial"/>
          <w:b/>
          <w:bCs/>
          <w:color w:val="C1632F"/>
          <w:sz w:val="24"/>
          <w:szCs w:val="24"/>
        </w:rPr>
        <w:t xml:space="preserve">Qué mantener</w:t>
      </w:r>
    </w:p>
    <w:p>
      <w:pPr>
        <w:pStyle w:val="ListParagraph"/>
        <w:numPr>
          <w:ilvl w:val="0"/>
          <w:numId w:val="2"/>
        </w:numPr>
        <w:spacing w:after="80"/>
      </w:pPr>
      <w:r>
        <w:rPr>
          <w:rFonts w:ascii="Arial" w:cs="Arial" w:eastAsia="Arial" w:hAnsi="Arial"/>
          <w:color w:val="1B2430"/>
          <w:sz w:val="22"/>
          <w:szCs w:val="22"/>
        </w:rPr>
        <w:t xml:space="preserve">La estructura de 6 unidades. Está calibrada al ritmo de E.P.J.A. y a la articulación con 2° y 3° año.</w:t>
      </w:r>
    </w:p>
    <w:p>
      <w:pPr>
        <w:pStyle w:val="ListParagraph"/>
        <w:numPr>
          <w:ilvl w:val="0"/>
          <w:numId w:val="2"/>
        </w:numPr>
        <w:spacing w:after="80"/>
      </w:pPr>
      <w:r>
        <w:rPr>
          <w:rFonts w:ascii="Arial" w:cs="Arial" w:eastAsia="Arial" w:hAnsi="Arial"/>
          <w:color w:val="1B2430"/>
          <w:sz w:val="22"/>
          <w:szCs w:val="22"/>
        </w:rPr>
        <w:t xml:space="preserve">El portafolio digital como hilo conductor anual.</w:t>
      </w:r>
    </w:p>
    <w:p>
      <w:pPr>
        <w:pStyle w:val="ListParagraph"/>
        <w:numPr>
          <w:ilvl w:val="0"/>
          <w:numId w:val="2"/>
        </w:numPr>
        <w:spacing w:after="80"/>
      </w:pPr>
      <w:r>
        <w:rPr>
          <w:rFonts w:ascii="Arial" w:cs="Arial" w:eastAsia="Arial" w:hAnsi="Arial"/>
          <w:color w:val="1B2430"/>
          <w:sz w:val="22"/>
          <w:szCs w:val="22"/>
        </w:rPr>
        <w:t xml:space="preserve">La paleta visual coherente entre Word, HTML y PowerPoint. Da identidad al curso.</w:t>
      </w:r>
    </w:p>
    <w:p>
      <w:pPr>
        <w:pStyle w:val="ListParagraph"/>
        <w:numPr>
          <w:ilvl w:val="0"/>
          <w:numId w:val="2"/>
        </w:numPr>
        <w:spacing w:after="80"/>
      </w:pPr>
      <w:r>
        <w:rPr>
          <w:rFonts w:ascii="Arial" w:cs="Arial" w:eastAsia="Arial" w:hAnsi="Arial"/>
          <w:color w:val="1B2430"/>
          <w:sz w:val="22"/>
          <w:szCs w:val="22"/>
        </w:rPr>
        <w:t xml:space="preserve">Los ejemplos localizados a Misiones, al oficio técnico y a la vida adulta. Es lo que diferencia este material de uno genérico.</w:t>
      </w:r>
    </w:p>
    <w:p>
      <w:pPr>
        <w:pStyle w:val="Heading3"/>
        <w:spacing w:after="100" w:before="200"/>
      </w:pPr>
      <w:r>
        <w:rPr>
          <w:rFonts w:ascii="Arial" w:cs="Arial" w:eastAsia="Arial" w:hAnsi="Arial"/>
          <w:b/>
          <w:bCs/>
          <w:color w:val="C1632F"/>
          <w:sz w:val="24"/>
          <w:szCs w:val="24"/>
        </w:rPr>
        <w:t xml:space="preserve">Qué evaluar al cierre del año</w:t>
      </w:r>
    </w:p>
    <w:p>
      <w:pPr>
        <w:pStyle w:val="ListParagraph"/>
        <w:numPr>
          <w:ilvl w:val="0"/>
          <w:numId w:val="2"/>
        </w:numPr>
        <w:spacing w:after="80"/>
      </w:pPr>
      <w:r>
        <w:rPr>
          <w:rFonts w:ascii="Arial" w:cs="Arial" w:eastAsia="Arial" w:hAnsi="Arial"/>
          <w:color w:val="1B2430"/>
          <w:sz w:val="22"/>
          <w:szCs w:val="22"/>
        </w:rPr>
        <w:t xml:space="preserve">¿Hubo unidades que quedaron cortas o que sobraron tiempo?</w:t>
      </w:r>
    </w:p>
    <w:p>
      <w:pPr>
        <w:pStyle w:val="ListParagraph"/>
        <w:numPr>
          <w:ilvl w:val="0"/>
          <w:numId w:val="2"/>
        </w:numPr>
        <w:spacing w:after="80"/>
      </w:pPr>
      <w:r>
        <w:rPr>
          <w:rFonts w:ascii="Arial" w:cs="Arial" w:eastAsia="Arial" w:hAnsi="Arial"/>
          <w:color w:val="1B2430"/>
          <w:sz w:val="22"/>
          <w:szCs w:val="22"/>
        </w:rPr>
        <w:t xml:space="preserve">¿Qué actividades funcionaron mejor en clase y cuáles cuesta sacar adelante?</w:t>
      </w:r>
    </w:p>
    <w:p>
      <w:pPr>
        <w:pStyle w:val="ListParagraph"/>
        <w:numPr>
          <w:ilvl w:val="0"/>
          <w:numId w:val="2"/>
        </w:numPr>
        <w:spacing w:after="80"/>
      </w:pPr>
      <w:r>
        <w:rPr>
          <w:rFonts w:ascii="Arial" w:cs="Arial" w:eastAsia="Arial" w:hAnsi="Arial"/>
          <w:color w:val="1B2430"/>
          <w:sz w:val="22"/>
          <w:szCs w:val="22"/>
        </w:rPr>
        <w:t xml:space="preserve">¿Hay temas nuevos (IA, criptomonedas, ciberseguridad) que merecen entrar al programa?</w:t>
      </w:r>
    </w:p>
    <w:p>
      <w:pPr>
        <w:pStyle w:val="ListParagraph"/>
        <w:numPr>
          <w:ilvl w:val="0"/>
          <w:numId w:val="2"/>
        </w:numPr>
        <w:spacing w:after="80"/>
      </w:pPr>
      <w:r>
        <w:rPr>
          <w:rFonts w:ascii="Arial" w:cs="Arial" w:eastAsia="Arial" w:hAnsi="Arial"/>
          <w:color w:val="1B2430"/>
          <w:sz w:val="22"/>
          <w:szCs w:val="22"/>
        </w:rPr>
        <w:t xml:space="preserve">¿La rúbrica del portafolio refleja lo que realmente se valora al corregirlo?</w:t>
      </w:r>
    </w:p>
    <w:p>
      <w:pPr>
        <w:spacing w:after="120" w:before="0"/>
        <w:jc w:val="left"/>
      </w:pPr>
      <w:r>
        <w:rPr>
          <w:rFonts w:ascii="Arial" w:cs="Arial" w:eastAsia="Arial" w:hAnsi="Arial"/>
          <w:b w:val="false"/>
          <w:bCs w:val="false"/>
          <w:i/>
          <w:iCs/>
          <w:color w:val="8A8276"/>
          <w:sz w:val="22"/>
          <w:szCs w:val="22"/>
        </w:rPr>
        <w:t xml:space="preserve">Una hora al cierre del ciclo para anotar estas observaciones, vuelve a este README con propuestas de mejora para el ciclo siguiente.</w:t>
      </w:r>
    </w:p>
    <w:p>
      <w:pPr>
        <w:spacing w:after="100"/>
      </w:pPr>
      <w:r>
        <w:t xml:space="preserve"/>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8F5E9" w:val="clear"/>
            <w:tcMar>
              <w:top w:type="dxa" w:w="200"/>
              <w:left w:type="dxa" w:w="300"/>
              <w:bottom w:type="dxa" w:w="200"/>
              <w:right w:type="dxa" w:w="300"/>
            </w:tcMar>
          </w:tcPr>
          <w:p>
            <w:pPr>
              <w:spacing w:after="100"/>
            </w:pPr>
            <w:r>
              <w:rPr>
                <w:rFonts w:ascii="Arial" w:cs="Arial" w:eastAsia="Arial" w:hAnsi="Arial"/>
                <w:b/>
                <w:bCs/>
                <w:color w:val="1F4E79"/>
                <w:sz w:val="22"/>
                <w:szCs w:val="22"/>
              </w:rPr>
              <w:t xml:space="preserve">Una última nota</w:t>
            </w:r>
          </w:p>
          <w:p>
            <w:pPr>
              <w:spacing w:after="80"/>
            </w:pPr>
            <w:r>
              <w:rPr>
                <w:rFonts w:ascii="Arial" w:cs="Arial" w:eastAsia="Arial" w:hAnsi="Arial"/>
                <w:color w:val="1B2430"/>
                <w:sz w:val="20"/>
                <w:szCs w:val="20"/>
              </w:rPr>
              <w:t xml:space="preserve">Este paquete se diseñó con la convicción de que enseñar informática a personas adultas que vuelven al estudio no es un trámite menor: es una de las intervenciones educativas más transformadoras que se pueden hacer. El material está al servicio de eso.</w:t>
            </w:r>
          </w:p>
          <w:p>
            <w:pPr>
              <w:spacing w:after="80"/>
            </w:pPr>
            <w:r>
              <w:rPr>
                <w:rFonts w:ascii="Arial" w:cs="Arial" w:eastAsia="Arial" w:hAnsi="Arial"/>
                <w:color w:val="1B2430"/>
                <w:sz w:val="20"/>
                <w:szCs w:val="20"/>
              </w:rPr>
              <w:t xml:space="preserve">Si lo modificás, mejoralo. Si lo compartís con colegas, hacelo. Lo importante es que llegue a los estudiantes y les sirva.</w:t>
            </w:r>
          </w:p>
        </w:tc>
      </w:tr>
    </w:tbl>
    <w:p>
      <w:pPr>
        <w:spacing w:after="100"/>
      </w:pPr>
      <w:r>
        <w:t xml:space="preserve"/>
      </w:r>
    </w:p>
    <w:p>
      <w:pPr>
        <w:spacing w:after="120" w:before="0"/>
        <w:jc w:val="left"/>
      </w:pPr>
      <w:r>
        <w:rPr>
          <w:rFonts w:ascii="Arial" w:cs="Arial" w:eastAsia="Arial" w:hAnsi="Arial"/>
          <w:b w:val="false"/>
          <w:bCs w:val="false"/>
          <w:i/>
          <w:iCs/>
          <w:color w:val="8A8276"/>
          <w:sz w:val="22"/>
          <w:szCs w:val="22"/>
        </w:rPr>
        <w:t xml:space="preserve">Rubén Rodolfo Markwart</w:t>
      </w:r>
    </w:p>
    <w:p>
      <w:pPr>
        <w:spacing w:after="120" w:before="0"/>
        <w:jc w:val="left"/>
      </w:pPr>
      <w:r>
        <w:rPr>
          <w:rFonts w:ascii="Arial" w:cs="Arial" w:eastAsia="Arial" w:hAnsi="Arial"/>
          <w:b w:val="false"/>
          <w:bCs w:val="false"/>
          <w:i/>
          <w:iCs/>
          <w:color w:val="8A8276"/>
          <w:sz w:val="18"/>
          <w:szCs w:val="18"/>
        </w:rPr>
        <w:t xml:space="preserve">EPET N°7  ·  Jardín América, Misiones  ·  Ciclo lectivo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163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del paquete docente - Introducción a la Informática EPJA</dc:title>
  <dc:creator>Rubén Rodolfo Markwart</dc:creator>
  <cp:lastModifiedBy>Un-named</cp:lastModifiedBy>
  <cp:revision>1</cp:revision>
  <dcterms:created xsi:type="dcterms:W3CDTF">2026-05-30T02:54:37.737Z</dcterms:created>
  <dcterms:modified xsi:type="dcterms:W3CDTF">2026-05-30T02:54:37.738Z</dcterms:modified>
</cp:coreProperties>
</file>

<file path=docProps/custom.xml><?xml version="1.0" encoding="utf-8"?>
<Properties xmlns="http://schemas.openxmlformats.org/officeDocument/2006/custom-properties" xmlns:vt="http://schemas.openxmlformats.org/officeDocument/2006/docPropsVTypes"/>
</file>