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F6B4F" w:val="clear"/>
        <w:spacing w:after="40" w:before="0"/>
        <w:jc w:val="center"/>
      </w:pPr>
      <w:r>
        <w:rPr>
          <w:rFonts w:ascii="Calibri" w:cs="Calibri" w:eastAsia="Calibri" w:hAnsi="Calibri"/>
          <w:b/>
          <w:bCs/>
          <w:color w:val="FFFFFF"/>
          <w:sz w:val="34"/>
          <w:szCs w:val="34"/>
        </w:rPr>
        <w:t xml:space="preserve">TP N°10 — Dashboard ejecutivo interactivo</w:t>
      </w:r>
    </w:p>
    <w:p>
      <w:pPr>
        <w:spacing w:after="240"/>
        <w:jc w:val="center"/>
      </w:pPr>
      <w:r>
        <w:rPr>
          <w:rFonts w:ascii="Calibri" w:cs="Calibri" w:eastAsia="Calibri" w:hAnsi="Calibri"/>
          <w:i/>
          <w:iCs/>
          <w:color w:val="555555"/>
          <w:sz w:val="18"/>
          <w:szCs w:val="18"/>
        </w:rPr>
        <w:t xml:space="preserve">Prof. Rubén Markwart — E.P.E.T. N°7 (EPJA) — Tecnicatura en Informática</w:t>
      </w:r>
    </w:p>
    <w:p>
      <w:pPr>
        <w:spacing w:after="120" w:before="0"/>
      </w:pPr>
      <w:r>
        <w:rPr>
          <w:rFonts w:ascii="Calibri" w:cs="Calibri" w:eastAsia="Calibri" w:hAnsi="Calibri"/>
          <w:b w:val="false"/>
          <w:bCs w:val="false"/>
          <w:i w:val="false"/>
          <w:iCs w:val="false"/>
          <w:color w:val="222222"/>
          <w:sz w:val="20"/>
          <w:szCs w:val="20"/>
        </w:rPr>
        <w:t xml:space="preserve">Objetivo: construir un panel de control visual e interactivo. Trabajá con Andamiaje_Dashboard_Excel.xlsx: los datos y fórmulas van listos; los gráficos, tablas dinámicas y segmentadores se construyen a mano — esa es la práctica. Usá tres hojas: "Datos" (ya provistas), "TDs" (tablas dinámicas) y "Dashboard".</w:t>
      </w:r>
    </w:p>
    <w:p>
      <w:pPr>
        <w:pStyle w:val="Heading2"/>
        <w:spacing w:after="120" w:before="260"/>
      </w:pPr>
      <w:r>
        <w:rPr>
          <w:rFonts w:ascii="Calibri" w:cs="Calibri" w:eastAsia="Calibri" w:hAnsi="Calibri"/>
          <w:b/>
          <w:bCs/>
          <w:color w:val="2F6B4F"/>
          <w:sz w:val="26"/>
          <w:szCs w:val="26"/>
        </w:rPr>
        <w:t xml:space="preserve">Los 6 componentes</w:t>
      </w:r>
    </w:p>
    <w:p>
      <w:pPr>
        <w:pStyle w:val="Heading3"/>
        <w:spacing w:after="100" w:before="200"/>
      </w:pPr>
      <w:r>
        <w:rPr>
          <w:rFonts w:ascii="Calibri" w:cs="Calibri" w:eastAsia="Calibri" w:hAnsi="Calibri"/>
          <w:b/>
          <w:bCs/>
          <w:color w:val="2F6B4F"/>
          <w:sz w:val="22"/>
          <w:szCs w:val="22"/>
        </w:rPr>
        <w:t xml:space="preserve">1 — Barras de datos con porcentaje dinámico (hoja Datos_Mensual)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7700"/>
      </w:tblGrid>
      <w:tr>
        <w:trPr>
          <w:tblHeader/>
        </w:trPr>
        <w:tc>
          <w:tcPr>
            <w:tcW w:type="dxa" w:w="19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Campo</w:t>
            </w:r>
          </w:p>
        </w:tc>
        <w:tc>
          <w:tcPr>
            <w:tcW w:type="dxa" w:w="77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Detalle</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Objetivo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Ver el % de avance contra la meta dentro de la propia celda.</w:t>
            </w:r>
          </w:p>
        </w:tc>
      </w:tr>
      <w:tr>
        <w:tc>
          <w:tcPr>
            <w:tcW w:type="dxa" w:w="19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Paso a paso</w:t>
            </w:r>
          </w:p>
        </w:tc>
        <w:tc>
          <w:tcPr>
            <w:tcW w:type="dxa" w:w="77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Seleccioná la columna % Avance → Inicio → Formato condicional → Barras de datos → Más reglas → Mínimo: Número = 0; Máximo: Número = 1 (así el 100% llena la celda y no se re-escala con el valor más alto, el error clásico). Relleno sólido verde. Para el umbral dinámico, apuntá el Máximo a la celda azul provista.</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Tip de diseño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Una sola familia de color: la barra comunica magnitud, no categoría. Regla adicional en rojo solo para &lt; 70%.</w:t>
            </w:r>
          </w:p>
        </w:tc>
      </w:tr>
    </w:tbl>
    <w:p>
      <w:pPr>
        <w:pStyle w:val="Heading3"/>
        <w:spacing w:after="100" w:before="200"/>
      </w:pPr>
      <w:r>
        <w:rPr>
          <w:rFonts w:ascii="Calibri" w:cs="Calibri" w:eastAsia="Calibri" w:hAnsi="Calibri"/>
          <w:b/>
          <w:bCs/>
          <w:color w:val="2F6B4F"/>
          <w:sz w:val="22"/>
          <w:szCs w:val="22"/>
        </w:rPr>
        <w:t xml:space="preserve">2 — Gráfico combinado: ingresos vs. margen (hoja Datos_Mensual)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7700"/>
      </w:tblGrid>
      <w:tr>
        <w:trPr>
          <w:tblHeader/>
        </w:trPr>
        <w:tc>
          <w:tcPr>
            <w:tcW w:type="dxa" w:w="19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Campo</w:t>
            </w:r>
          </w:p>
        </w:tc>
        <w:tc>
          <w:tcPr>
            <w:tcW w:type="dxa" w:w="77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Detalle</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Objetivo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Detectar meses donde se factura mucho pero se gana poco. En estos datos, los ingresos suben de $4,2M a $8,8M mientras el margen cae del 36% al 21%.</w:t>
            </w:r>
          </w:p>
        </w:tc>
      </w:tr>
      <w:tr>
        <w:tc>
          <w:tcPr>
            <w:tcW w:type="dxa" w:w="19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Paso a paso</w:t>
            </w:r>
          </w:p>
        </w:tc>
        <w:tc>
          <w:tcPr>
            <w:tcW w:type="dxa" w:w="77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Seleccioná Mes + Ingresos + Margen % → Insertar → Gráfico combinado → Personalizado → Ingresos: Columna agrupada; Margen: Línea + tildá Eje secundario. Formato del eje secundario: mínimo 0, máximo 0,6. Línea suavizada con marcadores.</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Tip de diseño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Columnas en gris claro, línea en el color de acento: el ojo va a la métrica estratégica. Título que afirme algo: "El margen cayó justo en los meses récord".</w:t>
            </w:r>
          </w:p>
        </w:tc>
      </w:tr>
    </w:tbl>
    <w:p>
      <w:pPr>
        <w:pStyle w:val="Heading3"/>
        <w:spacing w:after="100" w:before="200"/>
      </w:pPr>
      <w:r>
        <w:rPr>
          <w:rFonts w:ascii="Calibri" w:cs="Calibri" w:eastAsia="Calibri" w:hAnsi="Calibri"/>
          <w:b/>
          <w:bCs/>
          <w:color w:val="2F6B4F"/>
          <w:sz w:val="22"/>
          <w:szCs w:val="22"/>
        </w:rPr>
        <w:t xml:space="preserve">3 — Segmentadores conectados a varias tablas dinámicas (hoja Datos_Ventas)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7700"/>
      </w:tblGrid>
      <w:tr>
        <w:trPr>
          <w:tblHeader/>
        </w:trPr>
        <w:tc>
          <w:tcPr>
            <w:tcW w:type="dxa" w:w="19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Campo</w:t>
            </w:r>
          </w:p>
        </w:tc>
        <w:tc>
          <w:tcPr>
            <w:tcW w:type="dxa" w:w="77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Detalle</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Objetivo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Que un clic en NORTE filtre todo el panel a la vez. Es lo que convierte un reporte en un dashboard.</w:t>
            </w:r>
          </w:p>
        </w:tc>
      </w:tr>
      <w:tr>
        <w:tc>
          <w:tcPr>
            <w:tcW w:type="dxa" w:w="19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Paso a paso</w:t>
            </w:r>
          </w:p>
        </w:tc>
        <w:tc>
          <w:tcPr>
            <w:tcW w:type="dxa" w:w="77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Creá 2-3 tablas dinámicas desde Datos_Ventas (misma fuente, requisito clave). Clic en una TD → Análisis → Insertar segmentación de datos → Zona y Mes. El paso decisivo: clic derecho sobre el segmentador → Conexiones de informe → tildá TODAS las TDs. Movelos al Dashboard como botonera superior.</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Tip de diseño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Pestaña Segmentación → estilo claro → Columnas: 3 o 4 (botones horizontales como pestañas). Desactivá el encabezado si el contenido es obvio.</w:t>
            </w:r>
          </w:p>
        </w:tc>
      </w:tr>
    </w:tbl>
    <w:p>
      <w:pPr>
        <w:pStyle w:val="Heading3"/>
        <w:spacing w:after="100" w:before="200"/>
      </w:pPr>
      <w:r>
        <w:rPr>
          <w:rFonts w:ascii="Calibri" w:cs="Calibri" w:eastAsia="Calibri" w:hAnsi="Calibri"/>
          <w:b/>
          <w:bCs/>
          <w:color w:val="2F6B4F"/>
          <w:sz w:val="22"/>
          <w:szCs w:val="22"/>
        </w:rPr>
        <w:t xml:space="preserve">4 — Gráfico de burbujas: mapa del catálogo (hoja Productos)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7700"/>
      </w:tblGrid>
      <w:tr>
        <w:trPr>
          <w:tblHeader/>
        </w:trPr>
        <w:tc>
          <w:tcPr>
            <w:tcW w:type="dxa" w:w="19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Campo</w:t>
            </w:r>
          </w:p>
        </w:tc>
        <w:tc>
          <w:tcPr>
            <w:tcW w:type="dxa" w:w="77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Detalle</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Objetivo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Eje X = unidades, eje Y = precio, tamaño = facturación. Arriba-derecha las estrellas; abajo-izquierda los candidatos a discontinuar.</w:t>
            </w:r>
          </w:p>
        </w:tc>
      </w:tr>
      <w:tr>
        <w:tc>
          <w:tcPr>
            <w:tcW w:type="dxa" w:w="19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Paso a paso</w:t>
            </w:r>
          </w:p>
        </w:tc>
        <w:tc>
          <w:tcPr>
            <w:tcW w:type="dxa" w:w="77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Seleccioná SOLO las tres columnas numéricas → Insertar → Dispersión → Burbuja. Etiquetas: + → Etiquetas de datos → Más opciones → Valor de las celdas → rango de nombres de producto (destildá Valor Y). Cuadrantes: líneas con Insertar → Formas sobre los promedios.</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Tip de diseño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Transparencia de burbuja al 30-40% para que las superpuestas no se tapen. Más de 15 productos: filtrá el top 15.</w:t>
            </w:r>
          </w:p>
        </w:tc>
      </w:tr>
    </w:tbl>
    <w:p>
      <w:pPr>
        <w:pStyle w:val="Heading3"/>
        <w:spacing w:after="100" w:before="200"/>
      </w:pPr>
      <w:r>
        <w:rPr>
          <w:rFonts w:ascii="Calibri" w:cs="Calibri" w:eastAsia="Calibri" w:hAnsi="Calibri"/>
          <w:b/>
          <w:bCs/>
          <w:color w:val="2F6B4F"/>
          <w:sz w:val="22"/>
          <w:szCs w:val="22"/>
        </w:rPr>
        <w:t xml:space="preserve">5 — Sparklines: 12 meses en una celda (hoja Sparklines)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7700"/>
      </w:tblGrid>
      <w:tr>
        <w:trPr>
          <w:tblHeader/>
        </w:trPr>
        <w:tc>
          <w:tcPr>
            <w:tcW w:type="dxa" w:w="19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Campo</w:t>
            </w:r>
          </w:p>
        </w:tc>
        <w:tc>
          <w:tcPr>
            <w:tcW w:type="dxa" w:w="77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Detalle</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Objetivo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"¿Viene subiendo o bajando?" al lado de cada nombre, sin robar superficie del panel.</w:t>
            </w:r>
          </w:p>
        </w:tc>
      </w:tr>
      <w:tr>
        <w:tc>
          <w:tcPr>
            <w:tcW w:type="dxa" w:w="19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Paso a paso</w:t>
            </w:r>
          </w:p>
        </w:tc>
        <w:tc>
          <w:tcPr>
            <w:tcW w:type="dxa" w:w="77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Celda de la columna Tendencia → Insertar → Minigráficos → Línea → rango: los 12 meses de esa fila → arrastrá hacia abajo (se crea un grupo). Pestaña Minigráfico: tildá Punto alto y Punto bajo. Detalle experto: Eje → valor mínimo/máximo → Igual para todos — sin esto cada sparkline se autoescala y comparar es engañoso.</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Tip de diseño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Línea gris neutro, punto alto verde, punto bajo rojo: la anomalía salta sola. Alto de fila 24-30 px.</w:t>
            </w:r>
          </w:p>
        </w:tc>
      </w:tr>
    </w:tbl>
    <w:p>
      <w:pPr>
        <w:pStyle w:val="Heading3"/>
        <w:spacing w:after="100" w:before="200"/>
      </w:pPr>
      <w:r>
        <w:rPr>
          <w:rFonts w:ascii="Calibri" w:cs="Calibri" w:eastAsia="Calibri" w:hAnsi="Calibri"/>
          <w:b/>
          <w:bCs/>
          <w:color w:val="2F6B4F"/>
          <w:sz w:val="22"/>
          <w:szCs w:val="22"/>
        </w:rPr>
        <w:t xml:space="preserve">6 — Tarjeta KPI con flecha semafórica (hoja Dashboard)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7700"/>
      </w:tblGrid>
      <w:tr>
        <w:trPr>
          <w:tblHeader/>
        </w:trPr>
        <w:tc>
          <w:tcPr>
            <w:tcW w:type="dxa" w:w="19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Campo</w:t>
            </w:r>
          </w:p>
        </w:tc>
        <w:tc>
          <w:tcPr>
            <w:tcW w:type="dxa" w:w="7700"/>
            <w:tcBorders>
              <w:top w:val="single" w:color="B7CBBF" w:sz="4"/>
              <w:left w:val="single" w:color="B7CBBF" w:sz="4"/>
              <w:bottom w:val="single" w:color="B7CBBF" w:sz="4"/>
              <w:right w:val="single" w:color="B7CBBF" w:sz="4"/>
            </w:tcBorders>
            <w:shd w:fill="2F6B4F" w:val="clear"/>
            <w:tcMar>
              <w:top w:type="dxa" w:w="60"/>
              <w:left w:type="dxa" w:w="100"/>
              <w:bottom w:type="dxa" w:w="60"/>
              <w:right w:type="dxa" w:w="100"/>
            </w:tcMar>
          </w:tcPr>
          <w:p>
            <w:pPr>
              <w:spacing w:after="0"/>
            </w:pPr>
            <w:r>
              <w:rPr>
                <w:rFonts w:ascii="Calibri" w:cs="Calibri" w:eastAsia="Calibri" w:hAnsi="Calibri"/>
                <w:b/>
                <w:bCs/>
                <w:i w:val="false"/>
                <w:iCs w:val="false"/>
                <w:color w:val="FFFFFF"/>
                <w:sz w:val="18"/>
                <w:szCs w:val="18"/>
              </w:rPr>
              <w:t xml:space="preserve">Detalle</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Objetivo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El "número grande" que mira el directivo: ventas del mes con ▲ verde o ▼ rojo según la meta. La tarjeta 1 va resuelta como modelo; completá las tarjetas 2 y 3.</w:t>
            </w:r>
          </w:p>
        </w:tc>
      </w:tr>
      <w:tr>
        <w:tc>
          <w:tcPr>
            <w:tcW w:type="dxa" w:w="19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Paso a paso</w:t>
            </w:r>
          </w:p>
        </w:tc>
        <w:tc>
          <w:tcPr>
            <w:tcW w:type="dxa" w:w="7700"/>
            <w:tcBorders>
              <w:top w:val="single" w:color="B7CBBF" w:sz="4"/>
              <w:left w:val="single" w:color="B7CBBF" w:sz="4"/>
              <w:bottom w:val="single" w:color="B7CBBF" w:sz="4"/>
              <w:right w:val="single" w:color="B7CBBF" w:sz="4"/>
            </w:tcBorders>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La fórmula modelo: =SI(Ventas&gt;=Meta;"▲ "&amp;TEXTO(Ventas/Meta-1;"+0,0%");"▼ "&amp;TEXTO(Ventas/Meta-1;"-0,0%")). Para el color: Formato condicional → Nueva regla → Texto que contiene → "▲" → fuente verde; segunda regla con "▼" → rojo. Alternativa nativa: Conjuntos de iconos → 3 flechas con umbrales por Número.</w:t>
            </w:r>
          </w:p>
        </w:tc>
      </w:tr>
      <w:tr>
        <w:tc>
          <w:tcPr>
            <w:tcW w:type="dxa" w:w="19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Tip de diseño</w:t>
            </w:r>
          </w:p>
        </w:tc>
        <w:tc>
          <w:tcPr>
            <w:tcW w:type="dxa" w:w="7700"/>
            <w:tcBorders>
              <w:top w:val="single" w:color="B7CBBF" w:sz="4"/>
              <w:left w:val="single" w:color="B7CBBF" w:sz="4"/>
              <w:bottom w:val="single" w:color="B7CBBF" w:sz="4"/>
              <w:right w:val="single" w:color="B7CBBF" w:sz="4"/>
            </w:tcBorders>
            <w:shd w:fill="F5F4EC" w:val="clea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8"/>
                <w:szCs w:val="18"/>
              </w:rPr>
              <w:t xml:space="preserve">Tres jerarquías tipográficas y nunca más: etiqueta chica gris arriba (9-10 pt), valor enorme (28-36 pt), variación mediana abajo (12 pt). Tarjetas siempre en fila horizontal arriba.</w:t>
            </w:r>
          </w:p>
        </w:tc>
      </w:tr>
    </w:tbl>
    <w:p>
      <w:pPr>
        <w:pStyle w:val="Heading2"/>
        <w:spacing w:after="120" w:before="260"/>
      </w:pPr>
      <w:r>
        <w:rPr>
          <w:rFonts w:ascii="Calibri" w:cs="Calibri" w:eastAsia="Calibri" w:hAnsi="Calibri"/>
          <w:b/>
          <w:bCs/>
          <w:color w:val="2F6B4F"/>
          <w:sz w:val="26"/>
          <w:szCs w:val="26"/>
        </w:rPr>
        <w:t xml:space="preserve">Las 3 reglas de oro del dashboard ejecutivo</w:t>
      </w:r>
    </w:p>
    <w:p>
      <w:pPr>
        <w:pStyle w:val="ListParagraph"/>
        <w:numPr>
          <w:ilvl w:val="0"/>
          <w:numId w:val="2"/>
        </w:numPr>
        <w:spacing w:after="60"/>
      </w:pPr>
      <w:r>
        <w:rPr>
          <w:rFonts w:ascii="Calibri" w:cs="Calibri" w:eastAsia="Calibri" w:hAnsi="Calibri"/>
          <w:b w:val="false"/>
          <w:bCs w:val="false"/>
          <w:i w:val="false"/>
          <w:iCs w:val="false"/>
          <w:color w:val="222222"/>
          <w:sz w:val="20"/>
          <w:szCs w:val="20"/>
        </w:rPr>
        <w:t xml:space="preserve">Jerarquía en Z: arriba-izquierda las tarjetas KPI (el qué), centro los gráficos de tendencia (el cómo viene), abajo el detalle (el porqué). Segmentadores arriba como botonera. Si el dato más importante no está en el primer tercio superior, el diseño está mal.</w:t>
      </w:r>
    </w:p>
    <w:p>
      <w:pPr>
        <w:pStyle w:val="ListParagraph"/>
        <w:numPr>
          <w:ilvl w:val="0"/>
          <w:numId w:val="2"/>
        </w:numPr>
        <w:spacing w:after="60"/>
      </w:pPr>
      <w:r>
        <w:rPr>
          <w:rFonts w:ascii="Calibri" w:cs="Calibri" w:eastAsia="Calibri" w:hAnsi="Calibri"/>
          <w:b w:val="false"/>
          <w:bCs w:val="false"/>
          <w:i w:val="false"/>
          <w:iCs w:val="false"/>
          <w:color w:val="222222"/>
          <w:sz w:val="20"/>
          <w:szCs w:val="20"/>
        </w:rPr>
        <w:t xml:space="preserve">Menos tinta, más dato: eliminá todo píxel que no informe — líneas de cuadrícula (Vista → destildar), bordes, fondos, sombras 3D, leyendas redundantes. Máximo dos colores + gris: el institucional para lo normal y un acento solo para lo que exige acción.</w:t>
      </w:r>
    </w:p>
    <w:p>
      <w:pPr>
        <w:pStyle w:val="ListParagraph"/>
        <w:numPr>
          <w:ilvl w:val="0"/>
          <w:numId w:val="2"/>
        </w:numPr>
        <w:spacing w:after="60"/>
      </w:pPr>
      <w:r>
        <w:rPr>
          <w:rFonts w:ascii="Calibri" w:cs="Calibri" w:eastAsia="Calibri" w:hAnsi="Calibri"/>
          <w:b w:val="false"/>
          <w:bCs w:val="false"/>
          <w:i w:val="false"/>
          <w:iCs w:val="false"/>
          <w:color w:val="222222"/>
          <w:sz w:val="20"/>
          <w:szCs w:val="20"/>
        </w:rPr>
        <w:t xml:space="preserve">Nadie toca los datos: el usuario final solo interactúa con segmentadores. Datos en una hoja, TDs en otra, panel en la tercera; protegé la hoja Dashboard y ocultá las hojas de cocina. La credibilidad ES el producto.</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2026-07-03T20:43:32.864Z</dcterms:created>
  <dcterms:modified xsi:type="dcterms:W3CDTF">2026-07-03T20:43:32.864Z</dcterms:modified>
</cp:coreProperties>
</file>

<file path=docProps/custom.xml><?xml version="1.0" encoding="utf-8"?>
<Properties xmlns="http://schemas.openxmlformats.org/officeDocument/2006/custom-properties" xmlns:vt="http://schemas.openxmlformats.org/officeDocument/2006/docPropsVTypes"/>
</file>