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Arial" w:cs="Arial" w:eastAsia="Arial" w:hAnsi="Arial"/>
          <w:b/>
          <w:bCs/>
          <w:color w:val="F04E40"/>
          <w:sz w:val="48"/>
          <w:szCs w:val="48"/>
        </w:rPr>
        <w:t xml:space="preserve">GOING ECUADOR</w:t>
      </w:r>
    </w:p>
    <w:p>
      <w:pPr>
        <w:spacing w:after="60" w:before="0"/>
        <w:jc w:val="center"/>
      </w:pPr>
      <w:r>
        <w:rPr>
          <w:rFonts w:ascii="Arial" w:cs="Arial" w:eastAsia="Arial" w:hAnsi="Arial"/>
          <w:color w:val="131B2E"/>
          <w:sz w:val="24"/>
          <w:szCs w:val="24"/>
        </w:rPr>
        <w:t xml:space="preserve">Aplicación Móvil de Transporte Compartido</w:t>
      </w:r>
    </w:p>
    <w:p>
      <w:pPr>
        <w:spacing w:after="40" w:before="0"/>
        <w:jc w:val="center"/>
      </w:pPr>
      <w:r>
        <w:rPr>
          <w:rFonts w:ascii="Arial" w:cs="Arial" w:eastAsia="Arial" w:hAnsi="Arial"/>
          <w:b/>
          <w:bCs/>
          <w:color w:val="131B2E"/>
          <w:sz w:val="40"/>
          <w:szCs w:val="40"/>
        </w:rPr>
        <w:t xml:space="preserve">TÉRMINOS Y CONDICIONES DE USO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4E40" w:sz="6"/>
              <w:left w:val="single" w:color="F04E40" w:sz="6"/>
              <w:bottom w:val="single" w:color="E5E7EB" w:sz="1"/>
              <w:right w:val="single" w:color="E5E7EB" w:sz="1"/>
            </w:tcBorders>
            <w:shd w:fill="FFF5F4" w:val="clear"/>
            <w:tcMar>
              <w:top w:type="dxa" w:w="120"/>
              <w:left w:type="dxa" w:w="180"/>
              <w:bottom w:type="dxa" w:w="120"/>
              <w:right w:type="dxa" w:w="180"/>
            </w:tcMar>
          </w:tcPr>
          <w:p>
            <w:pPr>
              <w:jc w:val="center"/>
            </w:pPr>
            <w:r>
              <w:rPr>
                <w:rFonts w:ascii="Arial" w:cs="Arial" w:eastAsia="Arial" w:hAnsi="Arial"/>
                <w:color w:val="131B2E"/>
                <w:sz w:val="20"/>
                <w:szCs w:val="20"/>
              </w:rPr>
              <w:t xml:space="preserve">Versión 1.0  •  Vigente desde: 13 de abril de 2026</w:t>
            </w:r>
          </w:p>
          <w:p>
            <w:pPr>
              <w:jc w:val="center"/>
            </w:pPr>
            <w:r>
              <w:rPr>
                <w:rFonts w:ascii="Arial" w:cs="Arial" w:eastAsia="Arial" w:hAnsi="Arial"/>
                <w:i/>
                <w:iCs/>
                <w:color w:val="6B7280"/>
                <w:sz w:val="20"/>
                <w:szCs w:val="20"/>
              </w:rPr>
              <w:t xml:space="preserve">Ley aplicable: República del Ecuador — Código de Comercio, LOTTTSV, LOPDP</w:t>
            </w:r>
          </w:p>
        </w:tc>
      </w:tr>
    </w:tbl>
    <w:p>
      <w:pPr>
        <w:spacing w:after="0" w:before="60"/>
      </w:pPr>
      <w:r>
        <w:t xml:space="preserve"/>
      </w:r>
    </w:p>
    <w:p>
      <w:pPr>
        <w:pStyle w:val="Heading1"/>
        <w:pBdr>
          <w:bottom w:val="single" w:color="F04E40" w:sz="4" w:space="6"/>
        </w:pBdr>
        <w:spacing w:after="160" w:before="320"/>
      </w:pPr>
      <w:r>
        <w:rPr>
          <w:rFonts w:ascii="Arial" w:cs="Arial" w:eastAsia="Arial" w:hAnsi="Arial"/>
          <w:b/>
          <w:bCs/>
          <w:color w:val="131B2E"/>
          <w:sz w:val="28"/>
          <w:szCs w:val="28"/>
        </w:rPr>
        <w:t xml:space="preserve">1. Objeto y Aceptación</w:t>
      </w:r>
    </w:p>
    <w:p>
      <w:pPr>
        <w:spacing w:after="80" w:before="80" w:line="320"/>
        <w:jc w:val="both"/>
      </w:pPr>
      <w:r>
        <w:rPr>
          <w:rFonts w:ascii="Arial" w:cs="Arial" w:eastAsia="Arial" w:hAnsi="Arial"/>
          <w:color w:val="1F2937"/>
          <w:sz w:val="22"/>
          <w:szCs w:val="22"/>
        </w:rPr>
        <w:t xml:space="preserve">Los presentes Términos y Condiciones de Uso (en adelante "Términos") regulan el acceso y uso de la plataforma digital Going Ecuador, que incluye la aplicación móvil "Going — Pasajero", el sitio web y todos los servicios asociados (en adelante "la Plataforma").</w:t>
      </w:r>
    </w:p>
    <w:p>
      <w:pPr>
        <w:spacing w:after="80" w:before="80" w:line="320"/>
        <w:jc w:val="both"/>
      </w:pPr>
      <w:r>
        <w:rPr>
          <w:rFonts w:ascii="Arial" w:cs="Arial" w:eastAsia="Arial" w:hAnsi="Arial"/>
          <w:color w:val="1F2937"/>
          <w:sz w:val="22"/>
          <w:szCs w:val="22"/>
        </w:rPr>
        <w:t xml:space="preserve">Al registrarse y utilizar la Plataforma, el usuario declara haber leído, entendido y aceptado íntegramente los presentes Términos, así como la Política de Privacidad y cualquier normativa adicional publicada por Going Ecuador. Si no está de acuerdo, deberá abstenerse de utilizar los servicios.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4E40" w:sz="6"/>
              <w:left w:val="single" w:color="F04E40" w:sz="6"/>
              <w:bottom w:val="single" w:color="E5E7EB" w:sz="1"/>
              <w:right w:val="single" w:color="E5E7EB" w:sz="1"/>
            </w:tcBorders>
            <w:shd w:fill="FFF5F4" w:val="clear"/>
            <w:tcMar>
              <w:top w:type="dxa" w:w="120"/>
              <w:left w:type="dxa" w:w="180"/>
              <w:bottom w:type="dxa" w:w="120"/>
              <w:right w:type="dxa" w:w="180"/>
            </w:tcMar>
          </w:tcPr>
          <w:p>
            <w:r>
              <w:rPr>
                <w:rFonts w:ascii="Arial" w:cs="Arial" w:eastAsia="Arial" w:hAnsi="Arial"/>
                <w:b/>
                <w:bCs/>
                <w:color w:val="F04E40"/>
                <w:sz w:val="20"/>
                <w:szCs w:val="20"/>
              </w:rPr>
              <w:t xml:space="preserve">LOTTTSV: </w:t>
            </w:r>
            <w:r>
              <w:rPr>
                <w:rFonts w:ascii="Arial" w:cs="Arial" w:eastAsia="Arial" w:hAnsi="Arial"/>
                <w:color w:val="1F2937"/>
                <w:sz w:val="20"/>
                <w:szCs w:val="20"/>
              </w:rPr>
              <w:t xml:space="preserve">Going Ecuador opera bajo la Ley Orgánica de Transporte Terrestre, Tránsito y Seguridad Vial del Ecuador y sus reglamentos vigentes. Todos los conductores de la plataforma poseen habilitación legal para el transporte comercial.</w:t>
            </w:r>
          </w:p>
        </w:tc>
      </w:tr>
    </w:tbl>
    <w:p>
      <w:pPr>
        <w:spacing w:after="0" w:before="80"/>
      </w:pPr>
      <w:r>
        <w:t xml:space="preserve"/>
      </w:r>
    </w:p>
    <w:p>
      <w:pPr>
        <w:pStyle w:val="Heading1"/>
        <w:pBdr>
          <w:bottom w:val="single" w:color="F04E40" w:sz="4" w:space="6"/>
        </w:pBdr>
        <w:spacing w:after="160" w:before="320"/>
      </w:pPr>
      <w:r>
        <w:rPr>
          <w:rFonts w:ascii="Arial" w:cs="Arial" w:eastAsia="Arial" w:hAnsi="Arial"/>
          <w:b/>
          <w:bCs/>
          <w:color w:val="131B2E"/>
          <w:sz w:val="28"/>
          <w:szCs w:val="28"/>
        </w:rPr>
        <w:t xml:space="preserve">2. Descripción del Servicio</w:t>
      </w:r>
    </w:p>
    <w:p>
      <w:pPr>
        <w:spacing w:after="80" w:before="80" w:line="320"/>
        <w:jc w:val="both"/>
      </w:pPr>
      <w:r>
        <w:rPr>
          <w:rFonts w:ascii="Arial" w:cs="Arial" w:eastAsia="Arial" w:hAnsi="Arial"/>
          <w:color w:val="1F2937"/>
          <w:sz w:val="22"/>
          <w:szCs w:val="22"/>
        </w:rPr>
        <w:t xml:space="preserve">Going Ecuador es una plataforma tecnológica que conecta a pasajeros con conductores independientes habilitados para prestar servicios de:</w:t>
      </w:r>
    </w:p>
    <w:p>
      <w:pPr>
        <w:pStyle w:val="ListParagraph"/>
        <w:numPr>
          <w:ilvl w:val="0"/>
          <w:numId w:val="2"/>
        </w:numPr>
        <w:spacing w:after="60" w:before="60"/>
      </w:pPr>
      <w:r>
        <w:rPr>
          <w:rFonts w:ascii="Arial" w:cs="Arial" w:eastAsia="Arial" w:hAnsi="Arial"/>
          <w:color w:val="1F2937"/>
          <w:sz w:val="22"/>
          <w:szCs w:val="22"/>
        </w:rPr>
        <w:t xml:space="preserve">Transporte compartido de personas (tarifa fija por pasajero)</w:t>
      </w:r>
    </w:p>
    <w:p>
      <w:pPr>
        <w:pStyle w:val="ListParagraph"/>
        <w:numPr>
          <w:ilvl w:val="0"/>
          <w:numId w:val="2"/>
        </w:numPr>
        <w:spacing w:after="60" w:before="60"/>
      </w:pPr>
      <w:r>
        <w:rPr>
          <w:rFonts w:ascii="Arial" w:cs="Arial" w:eastAsia="Arial" w:hAnsi="Arial"/>
          <w:color w:val="1F2937"/>
          <w:sz w:val="22"/>
          <w:szCs w:val="22"/>
        </w:rPr>
        <w:t xml:space="preserve">Transporte privado de personas (vehículo exclusivo)</w:t>
      </w:r>
    </w:p>
    <w:p>
      <w:pPr>
        <w:pStyle w:val="ListParagraph"/>
        <w:numPr>
          <w:ilvl w:val="0"/>
          <w:numId w:val="2"/>
        </w:numPr>
        <w:spacing w:after="60" w:before="60"/>
      </w:pPr>
      <w:r>
        <w:rPr>
          <w:rFonts w:ascii="Arial" w:cs="Arial" w:eastAsia="Arial" w:hAnsi="Arial"/>
          <w:color w:val="1F2937"/>
          <w:sz w:val="22"/>
          <w:szCs w:val="22"/>
        </w:rPr>
        <w:t xml:space="preserve">Mensajería y envío de paquetes y documentos</w:t>
      </w:r>
    </w:p>
    <w:p>
      <w:pPr>
        <w:pStyle w:val="ListParagraph"/>
        <w:numPr>
          <w:ilvl w:val="0"/>
          <w:numId w:val="2"/>
        </w:numPr>
        <w:spacing w:after="60" w:before="60"/>
      </w:pPr>
      <w:r>
        <w:rPr>
          <w:rFonts w:ascii="Arial" w:cs="Arial" w:eastAsia="Arial" w:hAnsi="Arial"/>
          <w:color w:val="1F2937"/>
          <w:sz w:val="22"/>
          <w:szCs w:val="22"/>
        </w:rPr>
        <w:t xml:space="preserve">Tours y excursiones turísticas (próximamente)</w:t>
      </w:r>
    </w:p>
    <w:p>
      <w:pPr>
        <w:pStyle w:val="ListParagraph"/>
        <w:numPr>
          <w:ilvl w:val="0"/>
          <w:numId w:val="2"/>
        </w:numPr>
        <w:spacing w:after="60" w:before="60"/>
      </w:pPr>
      <w:r>
        <w:rPr>
          <w:rFonts w:ascii="Arial" w:cs="Arial" w:eastAsia="Arial" w:hAnsi="Arial"/>
          <w:color w:val="1F2937"/>
          <w:sz w:val="22"/>
          <w:szCs w:val="22"/>
        </w:rPr>
        <w:t xml:space="preserve">Alojamiento con anfitriones (próximamente)</w:t>
      </w:r>
    </w:p>
    <w:p>
      <w:pPr>
        <w:pStyle w:val="ListParagraph"/>
        <w:numPr>
          <w:ilvl w:val="0"/>
          <w:numId w:val="2"/>
        </w:numPr>
        <w:spacing w:after="60" w:before="60"/>
      </w:pPr>
      <w:r>
        <w:rPr>
          <w:rFonts w:ascii="Arial" w:cs="Arial" w:eastAsia="Arial" w:hAnsi="Arial"/>
          <w:color w:val="1F2937"/>
          <w:sz w:val="22"/>
          <w:szCs w:val="22"/>
        </w:rPr>
        <w:t xml:space="preserve">Experiencias y actividades (próximamente)</w:t>
      </w:r>
    </w:p>
    <w:p>
      <w:pPr>
        <w:spacing w:after="0" w:before="60"/>
      </w:pPr>
      <w:r>
        <w:t xml:space="preserve"/>
      </w:r>
    </w:p>
    <w:p>
      <w:pPr>
        <w:spacing w:after="80" w:before="80" w:line="320"/>
        <w:jc w:val="both"/>
      </w:pPr>
      <w:r>
        <w:rPr>
          <w:rFonts w:ascii="Arial" w:cs="Arial" w:eastAsia="Arial" w:hAnsi="Arial"/>
          <w:color w:val="1F2937"/>
          <w:sz w:val="22"/>
          <w:szCs w:val="22"/>
        </w:rPr>
        <w:t xml:space="preserve">Going Ecuador actúa como intermediario tecnológico y no es una empresa de transporte. La relación contractual para el servicio de transporte se establece directamente entre el pasajero y el conductor habilitado.</w:t>
      </w:r>
    </w:p>
    <w:p>
      <w:pPr>
        <w:pStyle w:val="Heading1"/>
        <w:pBdr>
          <w:bottom w:val="single" w:color="F04E40" w:sz="4" w:space="6"/>
        </w:pBdr>
        <w:spacing w:after="160" w:before="320"/>
      </w:pPr>
      <w:r>
        <w:rPr>
          <w:rFonts w:ascii="Arial" w:cs="Arial" w:eastAsia="Arial" w:hAnsi="Arial"/>
          <w:b/>
          <w:bCs/>
          <w:color w:val="131B2E"/>
          <w:sz w:val="28"/>
          <w:szCs w:val="28"/>
        </w:rPr>
        <w:t xml:space="preserve">3. Requisitos para el Registro</w:t>
      </w:r>
    </w:p>
    <w:p>
      <w:pPr>
        <w:spacing w:after="80" w:before="80" w:line="320"/>
        <w:jc w:val="both"/>
      </w:pPr>
      <w:r>
        <w:rPr>
          <w:rFonts w:ascii="Arial" w:cs="Arial" w:eastAsia="Arial" w:hAnsi="Arial"/>
          <w:color w:val="1F2937"/>
          <w:sz w:val="22"/>
          <w:szCs w:val="22"/>
        </w:rPr>
        <w:t xml:space="preserve">Para utilizar los servicios de Going Ecuador, el usuario debe:</w:t>
      </w:r>
    </w:p>
    <w:p>
      <w:pPr>
        <w:pStyle w:val="ListParagraph"/>
        <w:numPr>
          <w:ilvl w:val="0"/>
          <w:numId w:val="3"/>
        </w:numPr>
        <w:spacing w:after="60" w:before="60"/>
      </w:pPr>
      <w:r>
        <w:rPr>
          <w:rFonts w:ascii="Arial" w:cs="Arial" w:eastAsia="Arial" w:hAnsi="Arial"/>
          <w:color w:val="1F2937"/>
          <w:sz w:val="22"/>
          <w:szCs w:val="22"/>
        </w:rPr>
        <w:t xml:space="preserve">Ser persona natural mayor de 18 años o contar con autorización de su representante legal</w:t>
      </w:r>
    </w:p>
    <w:p>
      <w:pPr>
        <w:pStyle w:val="ListParagraph"/>
        <w:numPr>
          <w:ilvl w:val="0"/>
          <w:numId w:val="3"/>
        </w:numPr>
        <w:spacing w:after="60" w:before="60"/>
      </w:pPr>
      <w:r>
        <w:rPr>
          <w:rFonts w:ascii="Arial" w:cs="Arial" w:eastAsia="Arial" w:hAnsi="Arial"/>
          <w:color w:val="1F2937"/>
          <w:sz w:val="22"/>
          <w:szCs w:val="22"/>
        </w:rPr>
        <w:t xml:space="preserve">Proporcionar información verídica, completa y actualizada durante el registro</w:t>
      </w:r>
    </w:p>
    <w:p>
      <w:pPr>
        <w:pStyle w:val="ListParagraph"/>
        <w:numPr>
          <w:ilvl w:val="0"/>
          <w:numId w:val="3"/>
        </w:numPr>
        <w:spacing w:after="60" w:before="60"/>
      </w:pPr>
      <w:r>
        <w:rPr>
          <w:rFonts w:ascii="Arial" w:cs="Arial" w:eastAsia="Arial" w:hAnsi="Arial"/>
          <w:color w:val="1F2937"/>
          <w:sz w:val="22"/>
          <w:szCs w:val="22"/>
        </w:rPr>
        <w:t xml:space="preserve">Poseer un número de teléfono celular válido en Ecuador para verificación</w:t>
      </w:r>
    </w:p>
    <w:p>
      <w:pPr>
        <w:pStyle w:val="ListParagraph"/>
        <w:numPr>
          <w:ilvl w:val="0"/>
          <w:numId w:val="3"/>
        </w:numPr>
        <w:spacing w:after="60" w:before="60"/>
      </w:pPr>
      <w:r>
        <w:rPr>
          <w:rFonts w:ascii="Arial" w:cs="Arial" w:eastAsia="Arial" w:hAnsi="Arial"/>
          <w:color w:val="1F2937"/>
          <w:sz w:val="22"/>
          <w:szCs w:val="22"/>
        </w:rPr>
        <w:t xml:space="preserve">Aceptar expresamente los presentes Términos y la Política de Privacidad</w:t>
      </w:r>
    </w:p>
    <w:p>
      <w:pPr>
        <w:pStyle w:val="ListParagraph"/>
        <w:numPr>
          <w:ilvl w:val="0"/>
          <w:numId w:val="3"/>
        </w:numPr>
        <w:spacing w:after="60" w:before="60"/>
      </w:pPr>
      <w:r>
        <w:rPr>
          <w:rFonts w:ascii="Arial" w:cs="Arial" w:eastAsia="Arial" w:hAnsi="Arial"/>
          <w:color w:val="1F2937"/>
          <w:sz w:val="22"/>
          <w:szCs w:val="22"/>
        </w:rPr>
        <w:t xml:space="preserve">Contar con un método de pago válido (tarjeta de crédito/débito, billetera digital o efectivo)</w:t>
      </w:r>
    </w:p>
    <w:p>
      <w:pPr>
        <w:spacing w:after="0" w:before="60"/>
      </w:pPr>
      <w:r>
        <w:t xml:space="preserve"/>
      </w:r>
    </w:p>
    <w:p>
      <w:pPr>
        <w:spacing w:after="80" w:before="80" w:line="320"/>
        <w:jc w:val="both"/>
      </w:pPr>
      <w:r>
        <w:rPr>
          <w:rFonts w:ascii="Arial" w:cs="Arial" w:eastAsia="Arial" w:hAnsi="Arial"/>
          <w:color w:val="1F2937"/>
          <w:sz w:val="22"/>
          <w:szCs w:val="22"/>
        </w:rPr>
        <w:t xml:space="preserve">Going Ecuador se reserva el derecho de verificar la identidad de los usuarios y rechazar o suspender cuentas que no cumplan con los requisitos establecidos.</w:t>
      </w:r>
    </w:p>
    <w:p>
      <w:pPr>
        <w:pStyle w:val="Heading1"/>
        <w:pBdr>
          <w:bottom w:val="single" w:color="F04E40" w:sz="4" w:space="6"/>
        </w:pBdr>
        <w:spacing w:after="160" w:before="320"/>
      </w:pPr>
      <w:r>
        <w:rPr>
          <w:rFonts w:ascii="Arial" w:cs="Arial" w:eastAsia="Arial" w:hAnsi="Arial"/>
          <w:b/>
          <w:bCs/>
          <w:color w:val="131B2E"/>
          <w:sz w:val="28"/>
          <w:szCs w:val="28"/>
        </w:rPr>
        <w:t xml:space="preserve">4. Obligaciones del Usuario</w:t>
      </w:r>
    </w:p>
    <w:p>
      <w:pPr>
        <w:pStyle w:val="Heading2"/>
        <w:spacing w:after="120" w:before="240"/>
      </w:pPr>
      <w:r>
        <w:rPr>
          <w:rFonts w:ascii="Arial" w:cs="Arial" w:eastAsia="Arial" w:hAnsi="Arial"/>
          <w:b/>
          <w:bCs/>
          <w:color w:val="131B2E"/>
          <w:sz w:val="24"/>
          <w:szCs w:val="24"/>
        </w:rPr>
        <w:t xml:space="preserve">4.1 Uso adecuado de la plataforma</w:t>
      </w:r>
    </w:p>
    <w:p>
      <w:pPr>
        <w:spacing w:after="80" w:before="80" w:line="320"/>
        <w:jc w:val="both"/>
      </w:pPr>
      <w:r>
        <w:rPr>
          <w:rFonts w:ascii="Arial" w:cs="Arial" w:eastAsia="Arial" w:hAnsi="Arial"/>
          <w:color w:val="1F2937"/>
          <w:sz w:val="22"/>
          <w:szCs w:val="22"/>
        </w:rPr>
        <w:t xml:space="preserve">El usuario se compromete a:</w:t>
      </w:r>
    </w:p>
    <w:p>
      <w:pPr>
        <w:pStyle w:val="ListParagraph"/>
        <w:numPr>
          <w:ilvl w:val="0"/>
          <w:numId w:val="2"/>
        </w:numPr>
        <w:spacing w:after="60" w:before="60"/>
      </w:pPr>
      <w:r>
        <w:rPr>
          <w:rFonts w:ascii="Arial" w:cs="Arial" w:eastAsia="Arial" w:hAnsi="Arial"/>
          <w:color w:val="1F2937"/>
          <w:sz w:val="22"/>
          <w:szCs w:val="22"/>
        </w:rPr>
        <w:t xml:space="preserve">Utilizar la Plataforma únicamente para los fines lícitos contemplados en estos Términos</w:t>
      </w:r>
    </w:p>
    <w:p>
      <w:pPr>
        <w:pStyle w:val="ListParagraph"/>
        <w:numPr>
          <w:ilvl w:val="0"/>
          <w:numId w:val="2"/>
        </w:numPr>
        <w:spacing w:after="60" w:before="60"/>
      </w:pPr>
      <w:r>
        <w:rPr>
          <w:rFonts w:ascii="Arial" w:cs="Arial" w:eastAsia="Arial" w:hAnsi="Arial"/>
          <w:color w:val="1F2937"/>
          <w:sz w:val="22"/>
          <w:szCs w:val="22"/>
        </w:rPr>
        <w:t xml:space="preserve">No compartir su cuenta con terceros ni permitir el uso de su perfil</w:t>
      </w:r>
    </w:p>
    <w:p>
      <w:pPr>
        <w:pStyle w:val="ListParagraph"/>
        <w:numPr>
          <w:ilvl w:val="0"/>
          <w:numId w:val="2"/>
        </w:numPr>
        <w:spacing w:after="60" w:before="60"/>
      </w:pPr>
      <w:r>
        <w:rPr>
          <w:rFonts w:ascii="Arial" w:cs="Arial" w:eastAsia="Arial" w:hAnsi="Arial"/>
          <w:color w:val="1F2937"/>
          <w:sz w:val="22"/>
          <w:szCs w:val="22"/>
        </w:rPr>
        <w:t xml:space="preserve">Mantener actualizados sus datos personales y de contacto</w:t>
      </w:r>
    </w:p>
    <w:p>
      <w:pPr>
        <w:pStyle w:val="ListParagraph"/>
        <w:numPr>
          <w:ilvl w:val="0"/>
          <w:numId w:val="2"/>
        </w:numPr>
        <w:spacing w:after="60" w:before="60"/>
      </w:pPr>
      <w:r>
        <w:rPr>
          <w:rFonts w:ascii="Arial" w:cs="Arial" w:eastAsia="Arial" w:hAnsi="Arial"/>
          <w:color w:val="1F2937"/>
          <w:sz w:val="22"/>
          <w:szCs w:val="22"/>
        </w:rPr>
        <w:t xml:space="preserve">Tratar a los conductores y demás usuarios con respeto y dignidad</w:t>
      </w:r>
    </w:p>
    <w:p>
      <w:pPr>
        <w:pStyle w:val="ListParagraph"/>
        <w:numPr>
          <w:ilvl w:val="0"/>
          <w:numId w:val="2"/>
        </w:numPr>
        <w:spacing w:after="60" w:before="60"/>
      </w:pPr>
      <w:r>
        <w:rPr>
          <w:rFonts w:ascii="Arial" w:cs="Arial" w:eastAsia="Arial" w:hAnsi="Arial"/>
          <w:color w:val="1F2937"/>
          <w:sz w:val="22"/>
          <w:szCs w:val="22"/>
        </w:rPr>
        <w:t xml:space="preserve">No realizar conductas que puedan poner en riesgo la seguridad del viaje</w:t>
      </w:r>
    </w:p>
    <w:p>
      <w:pPr>
        <w:pStyle w:val="ListParagraph"/>
        <w:numPr>
          <w:ilvl w:val="0"/>
          <w:numId w:val="2"/>
        </w:numPr>
        <w:spacing w:after="60" w:before="60"/>
      </w:pPr>
      <w:r>
        <w:rPr>
          <w:rFonts w:ascii="Arial" w:cs="Arial" w:eastAsia="Arial" w:hAnsi="Arial"/>
          <w:color w:val="1F2937"/>
          <w:sz w:val="22"/>
          <w:szCs w:val="22"/>
        </w:rPr>
        <w:t xml:space="preserve">Respetar la propiedad de los vehículos y no dañarlos</w:t>
      </w:r>
    </w:p>
    <w:p>
      <w:pPr>
        <w:spacing w:after="0" w:before="60"/>
      </w:pPr>
      <w:r>
        <w:t xml:space="preserve"/>
      </w:r>
    </w:p>
    <w:p>
      <w:pPr>
        <w:pStyle w:val="Heading2"/>
        <w:spacing w:after="120" w:before="240"/>
      </w:pPr>
      <w:r>
        <w:rPr>
          <w:rFonts w:ascii="Arial" w:cs="Arial" w:eastAsia="Arial" w:hAnsi="Arial"/>
          <w:b/>
          <w:bCs/>
          <w:color w:val="131B2E"/>
          <w:sz w:val="24"/>
          <w:szCs w:val="24"/>
        </w:rPr>
        <w:t xml:space="preserve">4.2 Conductas prohibidas</w:t>
      </w:r>
    </w:p>
    <w:p>
      <w:pPr>
        <w:spacing w:after="80" w:before="80" w:line="320"/>
        <w:jc w:val="both"/>
      </w:pPr>
      <w:r>
        <w:rPr>
          <w:rFonts w:ascii="Arial" w:cs="Arial" w:eastAsia="Arial" w:hAnsi="Arial"/>
          <w:color w:val="1F2937"/>
          <w:sz w:val="22"/>
          <w:szCs w:val="22"/>
        </w:rPr>
        <w:t xml:space="preserve">Queda expresamente prohibido:</w:t>
      </w:r>
    </w:p>
    <w:p>
      <w:pPr>
        <w:pStyle w:val="ListParagraph"/>
        <w:numPr>
          <w:ilvl w:val="0"/>
          <w:numId w:val="2"/>
        </w:numPr>
        <w:spacing w:after="60" w:before="60"/>
      </w:pPr>
      <w:r>
        <w:rPr>
          <w:rFonts w:ascii="Arial" w:cs="Arial" w:eastAsia="Arial" w:hAnsi="Arial"/>
          <w:color w:val="1F2937"/>
          <w:sz w:val="22"/>
          <w:szCs w:val="22"/>
        </w:rPr>
        <w:t xml:space="preserve">Proporcionar información falsa o fraudulenta</w:t>
      </w:r>
    </w:p>
    <w:p>
      <w:pPr>
        <w:pStyle w:val="ListParagraph"/>
        <w:numPr>
          <w:ilvl w:val="0"/>
          <w:numId w:val="2"/>
        </w:numPr>
        <w:spacing w:after="60" w:before="60"/>
      </w:pPr>
      <w:r>
        <w:rPr>
          <w:rFonts w:ascii="Arial" w:cs="Arial" w:eastAsia="Arial" w:hAnsi="Arial"/>
          <w:color w:val="1F2937"/>
          <w:sz w:val="22"/>
          <w:szCs w:val="22"/>
        </w:rPr>
        <w:t xml:space="preserve">Utilizar la plataforma para actividades ilegales o contrarias a la moral</w:t>
      </w:r>
    </w:p>
    <w:p>
      <w:pPr>
        <w:pStyle w:val="ListParagraph"/>
        <w:numPr>
          <w:ilvl w:val="0"/>
          <w:numId w:val="2"/>
        </w:numPr>
        <w:spacing w:after="60" w:before="60"/>
      </w:pPr>
      <w:r>
        <w:rPr>
          <w:rFonts w:ascii="Arial" w:cs="Arial" w:eastAsia="Arial" w:hAnsi="Arial"/>
          <w:color w:val="1F2937"/>
          <w:sz w:val="22"/>
          <w:szCs w:val="22"/>
        </w:rPr>
        <w:t xml:space="preserve">Realizar reservas de viajes sin intención de cumplirlas (no-shows repetidos)</w:t>
      </w:r>
    </w:p>
    <w:p>
      <w:pPr>
        <w:pStyle w:val="ListParagraph"/>
        <w:numPr>
          <w:ilvl w:val="0"/>
          <w:numId w:val="2"/>
        </w:numPr>
        <w:spacing w:after="60" w:before="60"/>
      </w:pPr>
      <w:r>
        <w:rPr>
          <w:rFonts w:ascii="Arial" w:cs="Arial" w:eastAsia="Arial" w:hAnsi="Arial"/>
          <w:color w:val="1F2937"/>
          <w:sz w:val="22"/>
          <w:szCs w:val="22"/>
        </w:rPr>
        <w:t xml:space="preserve">Acosar, amenazar o discriminar a conductores u otros usuarios</w:t>
      </w:r>
    </w:p>
    <w:p>
      <w:pPr>
        <w:pStyle w:val="ListParagraph"/>
        <w:numPr>
          <w:ilvl w:val="0"/>
          <w:numId w:val="2"/>
        </w:numPr>
        <w:spacing w:after="60" w:before="60"/>
      </w:pPr>
      <w:r>
        <w:rPr>
          <w:rFonts w:ascii="Arial" w:cs="Arial" w:eastAsia="Arial" w:hAnsi="Arial"/>
          <w:color w:val="1F2937"/>
          <w:sz w:val="22"/>
          <w:szCs w:val="22"/>
        </w:rPr>
        <w:t xml:space="preserve">Intentar eludir los sistemas de pago o calificación</w:t>
      </w:r>
    </w:p>
    <w:p>
      <w:pPr>
        <w:pStyle w:val="ListParagraph"/>
        <w:numPr>
          <w:ilvl w:val="0"/>
          <w:numId w:val="2"/>
        </w:numPr>
        <w:spacing w:after="60" w:before="60"/>
      </w:pPr>
      <w:r>
        <w:rPr>
          <w:rFonts w:ascii="Arial" w:cs="Arial" w:eastAsia="Arial" w:hAnsi="Arial"/>
          <w:color w:val="1F2937"/>
          <w:sz w:val="22"/>
          <w:szCs w:val="22"/>
        </w:rPr>
        <w:t xml:space="preserve">Reproducir, copiar o distribuir el software o contenidos de la Plataforma sin autorización</w:t>
      </w:r>
    </w:p>
    <w:p>
      <w:pPr>
        <w:pStyle w:val="ListParagraph"/>
        <w:numPr>
          <w:ilvl w:val="0"/>
          <w:numId w:val="2"/>
        </w:numPr>
        <w:spacing w:after="60" w:before="60"/>
      </w:pPr>
      <w:r>
        <w:rPr>
          <w:rFonts w:ascii="Arial" w:cs="Arial" w:eastAsia="Arial" w:hAnsi="Arial"/>
          <w:color w:val="1F2937"/>
          <w:sz w:val="22"/>
          <w:szCs w:val="22"/>
        </w:rPr>
        <w:t xml:space="preserve">Utilizar bots, scrapers u otras herramientas automatizadas sin consentimiento</w:t>
      </w:r>
    </w:p>
    <w:p>
      <w:pPr>
        <w:pStyle w:val="Heading1"/>
        <w:pBdr>
          <w:bottom w:val="single" w:color="F04E40" w:sz="4" w:space="6"/>
        </w:pBdr>
        <w:spacing w:after="160" w:before="320"/>
      </w:pPr>
      <w:r>
        <w:rPr>
          <w:rFonts w:ascii="Arial" w:cs="Arial" w:eastAsia="Arial" w:hAnsi="Arial"/>
          <w:b/>
          <w:bCs/>
          <w:color w:val="131B2E"/>
          <w:sz w:val="28"/>
          <w:szCs w:val="28"/>
        </w:rPr>
        <w:t xml:space="preserve">5. Tarifas y Condiciones de Pago</w:t>
      </w:r>
    </w:p>
    <w:p>
      <w:pPr>
        <w:pStyle w:val="Heading2"/>
        <w:spacing w:after="120" w:before="240"/>
      </w:pPr>
      <w:r>
        <w:rPr>
          <w:rFonts w:ascii="Arial" w:cs="Arial" w:eastAsia="Arial" w:hAnsi="Arial"/>
          <w:b/>
          <w:bCs/>
          <w:color w:val="131B2E"/>
          <w:sz w:val="24"/>
          <w:szCs w:val="24"/>
        </w:rPr>
        <w:t xml:space="preserve">5.1 Estructura tarifaria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E5E7EB" w:sz="1"/>
              <w:left w:val="single" w:color="E5E7EB" w:sz="1"/>
              <w:bottom w:val="single" w:color="E5E7EB" w:sz="1"/>
              <w:right w:val="single" w:color="E5E7EB" w:sz="1"/>
            </w:tcBorders>
            <w:shd w:fill="131B2E" w:val="clear"/>
            <w:tcMar>
              <w:top w:type="dxa" w:w="80"/>
              <w:left w:type="dxa" w:w="120"/>
              <w:bottom w:type="dxa" w:w="80"/>
              <w:right w:type="dxa" w:w="120"/>
            </w:tcMar>
          </w:tcPr>
          <w:p>
            <w:r>
              <w:rPr>
                <w:rFonts w:ascii="Arial" w:cs="Arial" w:eastAsia="Arial" w:hAnsi="Arial"/>
                <w:b/>
                <w:bCs/>
                <w:color w:val="FFFFFF"/>
                <w:sz w:val="20"/>
                <w:szCs w:val="20"/>
              </w:rPr>
              <w:t xml:space="preserve">Tipo de servicio</w:t>
            </w:r>
          </w:p>
        </w:tc>
        <w:tc>
          <w:tcPr>
            <w:tcW w:type="dxa" w:w="3000"/>
            <w:tcBorders>
              <w:top w:val="single" w:color="E5E7EB" w:sz="1"/>
              <w:left w:val="single" w:color="E5E7EB" w:sz="1"/>
              <w:bottom w:val="single" w:color="E5E7EB" w:sz="1"/>
              <w:right w:val="single" w:color="E5E7EB" w:sz="1"/>
            </w:tcBorders>
            <w:shd w:fill="131B2E" w:val="clear"/>
            <w:tcMar>
              <w:top w:type="dxa" w:w="80"/>
              <w:left w:type="dxa" w:w="120"/>
              <w:bottom w:type="dxa" w:w="80"/>
              <w:right w:type="dxa" w:w="120"/>
            </w:tcMar>
          </w:tcPr>
          <w:p>
            <w:r>
              <w:rPr>
                <w:rFonts w:ascii="Arial" w:cs="Arial" w:eastAsia="Arial" w:hAnsi="Arial"/>
                <w:b/>
                <w:bCs/>
                <w:color w:val="FFFFFF"/>
                <w:sz w:val="20"/>
                <w:szCs w:val="20"/>
              </w:rPr>
              <w:t xml:space="preserve">Tarifa base</w:t>
            </w:r>
          </w:p>
        </w:tc>
        <w:tc>
          <w:tcPr>
            <w:tcW w:type="dxa" w:w="3360"/>
            <w:tcBorders>
              <w:top w:val="single" w:color="E5E7EB" w:sz="1"/>
              <w:left w:val="single" w:color="E5E7EB" w:sz="1"/>
              <w:bottom w:val="single" w:color="E5E7EB" w:sz="1"/>
              <w:right w:val="single" w:color="E5E7EB" w:sz="1"/>
            </w:tcBorders>
            <w:shd w:fill="131B2E" w:val="clear"/>
            <w:tcMar>
              <w:top w:type="dxa" w:w="80"/>
              <w:left w:type="dxa" w:w="120"/>
              <w:bottom w:type="dxa" w:w="80"/>
              <w:right w:type="dxa" w:w="120"/>
            </w:tcMar>
          </w:tcPr>
          <w:p>
            <w:r>
              <w:rPr>
                <w:rFonts w:ascii="Arial" w:cs="Arial" w:eastAsia="Arial" w:hAnsi="Arial"/>
                <w:b/>
                <w:bCs/>
                <w:color w:val="FFFFFF"/>
                <w:sz w:val="20"/>
                <w:szCs w:val="20"/>
              </w:rPr>
              <w:t xml:space="preserve">Observaciones</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Viaje compartido</w:t>
            </w:r>
          </w:p>
        </w:tc>
        <w:tc>
          <w:tcPr>
            <w:tcW w:type="dxa" w:w="3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$0.50 fija por pasajero</w:t>
            </w:r>
          </w:p>
        </w:tc>
        <w:tc>
          <w:tcPr>
            <w:tcW w:type="dxa" w:w="33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Cada pasajero paga su tarifa independiente</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Viaje privado</w:t>
            </w:r>
          </w:p>
        </w:tc>
        <w:tc>
          <w:tcPr>
            <w:tcW w:type="dxa" w:w="3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Desde $1.50</w:t>
            </w:r>
          </w:p>
        </w:tc>
        <w:tc>
          <w:tcPr>
            <w:tcW w:type="dxa" w:w="33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Vehículo exclusivo, tarifa según distancia</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Envío de paquetes</w:t>
            </w:r>
          </w:p>
        </w:tc>
        <w:tc>
          <w:tcPr>
            <w:tcW w:type="dxa" w:w="3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Desde $2.00</w:t>
            </w:r>
          </w:p>
        </w:tc>
        <w:tc>
          <w:tcPr>
            <w:tcW w:type="dxa" w:w="33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Según peso, tamaño y distancia</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Tours (próximamente)</w:t>
            </w:r>
          </w:p>
        </w:tc>
        <w:tc>
          <w:tcPr>
            <w:tcW w:type="dxa" w:w="3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F2937"/>
                <w:sz w:val="20"/>
                <w:szCs w:val="20"/>
              </w:rPr>
              <w:t xml:space="preserve">Variable</w:t>
            </w:r>
          </w:p>
        </w:tc>
        <w:tc>
          <w:tcPr>
            <w:tcW w:type="dxa" w:w="3360"/>
            <w:tcBorders>
              <w:top w:val="single" w:color="E5E7EB" w:sz="1"/>
              <w:left w:val="single" w:color="E5E7EB" w:sz="1"/>
              <w:bottom w:val="single" w:color="E5E7EB" w:sz="1"/>
              <w:right w:val="single" w:color="E5E7EB" w:sz="1"/>
            </w:tcBorders>
            <w:shd w:fill="F9FAFB" w:val="clear"/>
            <w:tcMar>
              <w:top w:type="dxa" w:w="60"/>
              <w:left w:type="dxa" w:w="120"/>
              <w:bottom w:type="dxa" w:w="60"/>
              <w:right w:type="dxa" w:w="120"/>
            </w:tcMar>
          </w:tcPr>
          <w:p>
            <w:r>
              <w:rPr>
                <w:rFonts w:ascii="Arial" w:cs="Arial" w:eastAsia="Arial" w:hAnsi="Arial"/>
                <w:color w:val="1F2937"/>
                <w:sz w:val="20"/>
                <w:szCs w:val="20"/>
              </w:rPr>
              <w:t xml:space="preserve">Confirmado al reservar</w:t>
            </w:r>
          </w:p>
        </w:tc>
      </w:tr>
    </w:tbl>
    <w:p>
      <w:pPr>
        <w:spacing w:after="0" w:before="80"/>
      </w:pPr>
      <w:r>
        <w:t xml:space="preserve"/>
      </w:r>
    </w:p>
    <w:p>
      <w:pPr>
        <w:pStyle w:val="Heading2"/>
        <w:spacing w:after="120" w:before="240"/>
      </w:pPr>
      <w:r>
        <w:rPr>
          <w:rFonts w:ascii="Arial" w:cs="Arial" w:eastAsia="Arial" w:hAnsi="Arial"/>
          <w:b/>
          <w:bCs/>
          <w:color w:val="131B2E"/>
          <w:sz w:val="24"/>
          <w:szCs w:val="24"/>
        </w:rPr>
        <w:t xml:space="preserve">5.2 Métodos de pago aceptados</w:t>
      </w:r>
    </w:p>
    <w:p>
      <w:pPr>
        <w:pStyle w:val="ListParagraph"/>
        <w:numPr>
          <w:ilvl w:val="0"/>
          <w:numId w:val="2"/>
        </w:numPr>
        <w:spacing w:after="60" w:before="60"/>
      </w:pPr>
      <w:r>
        <w:rPr>
          <w:rFonts w:ascii="Arial" w:cs="Arial" w:eastAsia="Arial" w:hAnsi="Arial"/>
          <w:color w:val="1F2937"/>
          <w:sz w:val="22"/>
          <w:szCs w:val="22"/>
        </w:rPr>
        <w:t xml:space="preserve">Tarjeta de crédito o débito (Visa, Mastercard) — procesado por Datafast</w:t>
      </w:r>
    </w:p>
    <w:p>
      <w:pPr>
        <w:pStyle w:val="ListParagraph"/>
        <w:numPr>
          <w:ilvl w:val="0"/>
          <w:numId w:val="2"/>
        </w:numPr>
        <w:spacing w:after="60" w:before="60"/>
      </w:pPr>
      <w:r>
        <w:rPr>
          <w:rFonts w:ascii="Arial" w:cs="Arial" w:eastAsia="Arial" w:hAnsi="Arial"/>
          <w:color w:val="1F2937"/>
          <w:sz w:val="22"/>
          <w:szCs w:val="22"/>
        </w:rPr>
        <w:t xml:space="preserve">Billetera digital De Una</w:t>
      </w:r>
    </w:p>
    <w:p>
      <w:pPr>
        <w:pStyle w:val="ListParagraph"/>
        <w:numPr>
          <w:ilvl w:val="0"/>
          <w:numId w:val="2"/>
        </w:numPr>
        <w:spacing w:after="60" w:before="60"/>
      </w:pPr>
      <w:r>
        <w:rPr>
          <w:rFonts w:ascii="Arial" w:cs="Arial" w:eastAsia="Arial" w:hAnsi="Arial"/>
          <w:color w:val="1F2937"/>
          <w:sz w:val="22"/>
          <w:szCs w:val="22"/>
        </w:rPr>
        <w:t xml:space="preserve">Efectivo al conductor (disponible en viajes seleccionados)</w:t>
      </w:r>
    </w:p>
    <w:p>
      <w:pPr>
        <w:spacing w:after="0" w:before="60"/>
      </w:pPr>
      <w:r>
        <w:t xml:space="preserve"/>
      </w:r>
    </w:p>
    <w:p>
      <w:pPr>
        <w:pStyle w:val="Heading2"/>
        <w:spacing w:after="120" w:before="240"/>
      </w:pPr>
      <w:r>
        <w:rPr>
          <w:rFonts w:ascii="Arial" w:cs="Arial" w:eastAsia="Arial" w:hAnsi="Arial"/>
          <w:b/>
          <w:bCs/>
          <w:color w:val="131B2E"/>
          <w:sz w:val="24"/>
          <w:szCs w:val="24"/>
        </w:rPr>
        <w:t xml:space="preserve">5.3 Facturación</w:t>
      </w:r>
    </w:p>
    <w:p>
      <w:pPr>
        <w:spacing w:after="80" w:before="80" w:line="320"/>
        <w:jc w:val="both"/>
      </w:pPr>
      <w:r>
        <w:rPr>
          <w:rFonts w:ascii="Arial" w:cs="Arial" w:eastAsia="Arial" w:hAnsi="Arial"/>
          <w:color w:val="1F2937"/>
          <w:sz w:val="22"/>
          <w:szCs w:val="22"/>
        </w:rPr>
        <w:t xml:space="preserve">Going Ecuador emitirá comprobantes electrónicos de conformidad con la normativa del SRI. La factura se enviará al correo registrado dentro de las 24 horas siguientes al pago. Para empresas que requieran factura con datos del RUC, deberán actualizar sus datos en Perfil &gt; Empresa.</w:t>
      </w:r>
    </w:p>
    <w:p>
      <w:pPr>
        <w:pStyle w:val="Heading1"/>
        <w:pBdr>
          <w:bottom w:val="single" w:color="F04E40" w:sz="4" w:space="6"/>
        </w:pBdr>
        <w:spacing w:after="160" w:before="320"/>
      </w:pPr>
      <w:r>
        <w:rPr>
          <w:rFonts w:ascii="Arial" w:cs="Arial" w:eastAsia="Arial" w:hAnsi="Arial"/>
          <w:b/>
          <w:bCs/>
          <w:color w:val="131B2E"/>
          <w:sz w:val="28"/>
          <w:szCs w:val="28"/>
        </w:rPr>
        <w:t xml:space="preserve">6. Cancelaciones y Política de Reembolso</w:t>
      </w:r>
    </w:p>
    <w:p>
      <w:pPr>
        <w:pStyle w:val="ListParagraph"/>
        <w:numPr>
          <w:ilvl w:val="0"/>
          <w:numId w:val="2"/>
        </w:numPr>
        <w:spacing w:after="60" w:before="60"/>
      </w:pPr>
      <w:r>
        <w:rPr>
          <w:rFonts w:ascii="Arial" w:cs="Arial" w:eastAsia="Arial" w:hAnsi="Arial"/>
          <w:color w:val="1F2937"/>
          <w:sz w:val="22"/>
          <w:szCs w:val="22"/>
        </w:rPr>
        <w:t xml:space="preserve">Cancelación gratuita: hasta 5 minutos después de confirmar la reserva</w:t>
      </w:r>
    </w:p>
    <w:p>
      <w:pPr>
        <w:pStyle w:val="ListParagraph"/>
        <w:numPr>
          <w:ilvl w:val="0"/>
          <w:numId w:val="2"/>
        </w:numPr>
        <w:spacing w:after="60" w:before="60"/>
      </w:pPr>
      <w:r>
        <w:rPr>
          <w:rFonts w:ascii="Arial" w:cs="Arial" w:eastAsia="Arial" w:hAnsi="Arial"/>
          <w:color w:val="1F2937"/>
          <w:sz w:val="22"/>
          <w:szCs w:val="22"/>
        </w:rPr>
        <w:t xml:space="preserve">Cancelación tardía (conductor ya asignado): cargo de $0.25 por procesamiento</w:t>
      </w:r>
    </w:p>
    <w:p>
      <w:pPr>
        <w:pStyle w:val="ListParagraph"/>
        <w:numPr>
          <w:ilvl w:val="0"/>
          <w:numId w:val="2"/>
        </w:numPr>
        <w:spacing w:after="60" w:before="60"/>
      </w:pPr>
      <w:r>
        <w:rPr>
          <w:rFonts w:ascii="Arial" w:cs="Arial" w:eastAsia="Arial" w:hAnsi="Arial"/>
          <w:color w:val="1F2937"/>
          <w:sz w:val="22"/>
          <w:szCs w:val="22"/>
        </w:rPr>
        <w:t xml:space="preserve">No presentación del pasajero (no-show): cargo del 50% de la tarifa base</w:t>
      </w:r>
    </w:p>
    <w:p>
      <w:pPr>
        <w:pStyle w:val="ListParagraph"/>
        <w:numPr>
          <w:ilvl w:val="0"/>
          <w:numId w:val="2"/>
        </w:numPr>
        <w:spacing w:after="60" w:before="60"/>
      </w:pPr>
      <w:r>
        <w:rPr>
          <w:rFonts w:ascii="Arial" w:cs="Arial" w:eastAsia="Arial" w:hAnsi="Arial"/>
          <w:color w:val="1F2937"/>
          <w:sz w:val="22"/>
          <w:szCs w:val="22"/>
        </w:rPr>
        <w:t xml:space="preserve">Cancelación por el conductor: el pasajero no tiene ningún cargo y recibirá prioridad en la siguiente reserva</w:t>
      </w:r>
    </w:p>
    <w:p>
      <w:pPr>
        <w:spacing w:after="0" w:before="60"/>
      </w:pPr>
      <w:r>
        <w:t xml:space="preserve"/>
      </w:r>
    </w:p>
    <w:p>
      <w:pPr>
        <w:spacing w:after="80" w:before="80" w:line="320"/>
        <w:jc w:val="both"/>
      </w:pPr>
      <w:r>
        <w:rPr>
          <w:rFonts w:ascii="Arial" w:cs="Arial" w:eastAsia="Arial" w:hAnsi="Arial"/>
          <w:color w:val="1F2937"/>
          <w:sz w:val="22"/>
          <w:szCs w:val="22"/>
        </w:rPr>
        <w:t xml:space="preserve">Los reembolsos se procesarán al método de pago original dentro de 3 a 5 días hábiles. Para disputas, el usuario puede contactar a soporte@goingec.com dentro de las 48 horas siguientes al viaje.</w:t>
      </w:r>
    </w:p>
    <w:p>
      <w:pPr>
        <w:pStyle w:val="Heading1"/>
        <w:pBdr>
          <w:bottom w:val="single" w:color="F04E40" w:sz="4" w:space="6"/>
        </w:pBdr>
        <w:spacing w:after="160" w:before="320"/>
      </w:pPr>
      <w:r>
        <w:rPr>
          <w:rFonts w:ascii="Arial" w:cs="Arial" w:eastAsia="Arial" w:hAnsi="Arial"/>
          <w:b/>
          <w:bCs/>
          <w:color w:val="131B2E"/>
          <w:sz w:val="28"/>
          <w:szCs w:val="28"/>
        </w:rPr>
        <w:t xml:space="preserve">7. Calificaciones y Reputación</w:t>
      </w:r>
    </w:p>
    <w:p>
      <w:pPr>
        <w:spacing w:after="80" w:before="80" w:line="320"/>
        <w:jc w:val="both"/>
      </w:pPr>
      <w:r>
        <w:rPr>
          <w:rFonts w:ascii="Arial" w:cs="Arial" w:eastAsia="Arial" w:hAnsi="Arial"/>
          <w:color w:val="1F2937"/>
          <w:sz w:val="22"/>
          <w:szCs w:val="22"/>
        </w:rPr>
        <w:t xml:space="preserve">El sistema de calificaciones bidireccional es fundamental para la seguridad y calidad del servicio:</w:t>
      </w:r>
    </w:p>
    <w:p>
      <w:pPr>
        <w:pStyle w:val="ListParagraph"/>
        <w:numPr>
          <w:ilvl w:val="0"/>
          <w:numId w:val="2"/>
        </w:numPr>
        <w:spacing w:after="60" w:before="60"/>
      </w:pPr>
      <w:r>
        <w:rPr>
          <w:rFonts w:ascii="Arial" w:cs="Arial" w:eastAsia="Arial" w:hAnsi="Arial"/>
          <w:color w:val="1F2937"/>
          <w:sz w:val="22"/>
          <w:szCs w:val="22"/>
        </w:rPr>
        <w:t xml:space="preserve">Los pasajeros califican a los conductores al finalizar cada viaje (1-5 estrellas)</w:t>
      </w:r>
    </w:p>
    <w:p>
      <w:pPr>
        <w:pStyle w:val="ListParagraph"/>
        <w:numPr>
          <w:ilvl w:val="0"/>
          <w:numId w:val="2"/>
        </w:numPr>
        <w:spacing w:after="60" w:before="60"/>
      </w:pPr>
      <w:r>
        <w:rPr>
          <w:rFonts w:ascii="Arial" w:cs="Arial" w:eastAsia="Arial" w:hAnsi="Arial"/>
          <w:color w:val="1F2937"/>
          <w:sz w:val="22"/>
          <w:szCs w:val="22"/>
        </w:rPr>
        <w:t xml:space="preserve">Los conductores pueden calificar a los pasajeros</w:t>
      </w:r>
    </w:p>
    <w:p>
      <w:pPr>
        <w:pStyle w:val="ListParagraph"/>
        <w:numPr>
          <w:ilvl w:val="0"/>
          <w:numId w:val="2"/>
        </w:numPr>
        <w:spacing w:after="60" w:before="60"/>
      </w:pPr>
      <w:r>
        <w:rPr>
          <w:rFonts w:ascii="Arial" w:cs="Arial" w:eastAsia="Arial" w:hAnsi="Arial"/>
          <w:color w:val="1F2937"/>
          <w:sz w:val="22"/>
          <w:szCs w:val="22"/>
        </w:rPr>
        <w:t xml:space="preserve">Una calificación promedio inferior a 3.5 estrellas puede resultar en la suspensión de la cuenta</w:t>
      </w:r>
    </w:p>
    <w:p>
      <w:pPr>
        <w:pStyle w:val="ListParagraph"/>
        <w:numPr>
          <w:ilvl w:val="0"/>
          <w:numId w:val="2"/>
        </w:numPr>
        <w:spacing w:after="60" w:before="60"/>
      </w:pPr>
      <w:r>
        <w:rPr>
          <w:rFonts w:ascii="Arial" w:cs="Arial" w:eastAsia="Arial" w:hAnsi="Arial"/>
          <w:color w:val="1F2937"/>
          <w:sz w:val="22"/>
          <w:szCs w:val="22"/>
        </w:rPr>
        <w:t xml:space="preserve">Las calificaciones son públicas entre conductores y pasajeros de la plataforma</w:t>
      </w:r>
    </w:p>
    <w:p>
      <w:pPr>
        <w:pStyle w:val="ListParagraph"/>
        <w:numPr>
          <w:ilvl w:val="0"/>
          <w:numId w:val="2"/>
        </w:numPr>
        <w:spacing w:after="60" w:before="60"/>
      </w:pPr>
      <w:r>
        <w:rPr>
          <w:rFonts w:ascii="Arial" w:cs="Arial" w:eastAsia="Arial" w:hAnsi="Arial"/>
          <w:color w:val="1F2937"/>
          <w:sz w:val="22"/>
          <w:szCs w:val="22"/>
        </w:rPr>
        <w:t xml:space="preserve">Going Ecuador investiga las disputas sobre calificaciones y puede eliminar aquellas que sean claramente injustificadas</w:t>
      </w:r>
    </w:p>
    <w:p>
      <w:pPr>
        <w:pStyle w:val="Heading1"/>
        <w:pBdr>
          <w:bottom w:val="single" w:color="F04E40" w:sz="4" w:space="6"/>
        </w:pBdr>
        <w:spacing w:after="160" w:before="320"/>
      </w:pPr>
      <w:r>
        <w:rPr>
          <w:rFonts w:ascii="Arial" w:cs="Arial" w:eastAsia="Arial" w:hAnsi="Arial"/>
          <w:b/>
          <w:bCs/>
          <w:color w:val="131B2E"/>
          <w:sz w:val="28"/>
          <w:szCs w:val="28"/>
        </w:rPr>
        <w:t xml:space="preserve">8. Responsabilidad y Limitaciones</w:t>
      </w:r>
    </w:p>
    <w:p>
      <w:pPr>
        <w:pStyle w:val="Heading2"/>
        <w:spacing w:after="120" w:before="240"/>
      </w:pPr>
      <w:r>
        <w:rPr>
          <w:rFonts w:ascii="Arial" w:cs="Arial" w:eastAsia="Arial" w:hAnsi="Arial"/>
          <w:b/>
          <w:bCs/>
          <w:color w:val="131B2E"/>
          <w:sz w:val="24"/>
          <w:szCs w:val="24"/>
        </w:rPr>
        <w:t xml:space="preserve">8.1 Going Ecuador como intermediario</w:t>
      </w:r>
    </w:p>
    <w:p>
      <w:pPr>
        <w:spacing w:after="80" w:before="80" w:line="320"/>
        <w:jc w:val="both"/>
      </w:pPr>
      <w:r>
        <w:rPr>
          <w:rFonts w:ascii="Arial" w:cs="Arial" w:eastAsia="Arial" w:hAnsi="Arial"/>
          <w:color w:val="1F2937"/>
          <w:sz w:val="22"/>
          <w:szCs w:val="22"/>
        </w:rPr>
        <w:t xml:space="preserve">Going Ecuador provee la plataforma tecnológica que conecta usuarios y conductores. Going Ecuador no es responsable de:</w:t>
      </w:r>
    </w:p>
    <w:p>
      <w:pPr>
        <w:pStyle w:val="ListParagraph"/>
        <w:numPr>
          <w:ilvl w:val="0"/>
          <w:numId w:val="2"/>
        </w:numPr>
        <w:spacing w:after="60" w:before="60"/>
      </w:pPr>
      <w:r>
        <w:rPr>
          <w:rFonts w:ascii="Arial" w:cs="Arial" w:eastAsia="Arial" w:hAnsi="Arial"/>
          <w:color w:val="1F2937"/>
          <w:sz w:val="22"/>
          <w:szCs w:val="22"/>
        </w:rPr>
        <w:t xml:space="preserve">Accidentes de tránsito durante la prestación del servicio (responsabilidad del conductor habilitado)</w:t>
      </w:r>
    </w:p>
    <w:p>
      <w:pPr>
        <w:pStyle w:val="ListParagraph"/>
        <w:numPr>
          <w:ilvl w:val="0"/>
          <w:numId w:val="2"/>
        </w:numPr>
        <w:spacing w:after="60" w:before="60"/>
      </w:pPr>
      <w:r>
        <w:rPr>
          <w:rFonts w:ascii="Arial" w:cs="Arial" w:eastAsia="Arial" w:hAnsi="Arial"/>
          <w:color w:val="1F2937"/>
          <w:sz w:val="22"/>
          <w:szCs w:val="22"/>
        </w:rPr>
        <w:t xml:space="preserve">Objetos olvidados en los vehículos</w:t>
      </w:r>
    </w:p>
    <w:p>
      <w:pPr>
        <w:pStyle w:val="ListParagraph"/>
        <w:numPr>
          <w:ilvl w:val="0"/>
          <w:numId w:val="2"/>
        </w:numPr>
        <w:spacing w:after="60" w:before="60"/>
      </w:pPr>
      <w:r>
        <w:rPr>
          <w:rFonts w:ascii="Arial" w:cs="Arial" w:eastAsia="Arial" w:hAnsi="Arial"/>
          <w:color w:val="1F2937"/>
          <w:sz w:val="22"/>
          <w:szCs w:val="22"/>
        </w:rPr>
        <w:t xml:space="preserve">Daños consecuenciales o indirectos derivados del uso de la plataforma</w:t>
      </w:r>
    </w:p>
    <w:p>
      <w:pPr>
        <w:pStyle w:val="ListParagraph"/>
        <w:numPr>
          <w:ilvl w:val="0"/>
          <w:numId w:val="2"/>
        </w:numPr>
        <w:spacing w:after="60" w:before="60"/>
      </w:pPr>
      <w:r>
        <w:rPr>
          <w:rFonts w:ascii="Arial" w:cs="Arial" w:eastAsia="Arial" w:hAnsi="Arial"/>
          <w:color w:val="1F2937"/>
          <w:sz w:val="22"/>
          <w:szCs w:val="22"/>
        </w:rPr>
        <w:t xml:space="preserve">Indisponibilidad temporal del servicio por mantenimiento o causas de fuerza mayor</w:t>
      </w:r>
    </w:p>
    <w:p>
      <w:pPr>
        <w:spacing w:after="0" w:before="60"/>
      </w:pPr>
      <w:r>
        <w:t xml:space="preserve"/>
      </w:r>
    </w:p>
    <w:p>
      <w:pPr>
        <w:pStyle w:val="Heading2"/>
        <w:spacing w:after="120" w:before="240"/>
      </w:pPr>
      <w:r>
        <w:rPr>
          <w:rFonts w:ascii="Arial" w:cs="Arial" w:eastAsia="Arial" w:hAnsi="Arial"/>
          <w:b/>
          <w:bCs/>
          <w:color w:val="131B2E"/>
          <w:sz w:val="24"/>
          <w:szCs w:val="24"/>
        </w:rPr>
        <w:t xml:space="preserve">8.2 Seguro obligatorio</w:t>
      </w:r>
    </w:p>
    <w:p>
      <w:pPr>
        <w:spacing w:after="80" w:before="80" w:line="320"/>
        <w:jc w:val="both"/>
      </w:pPr>
      <w:r>
        <w:rPr>
          <w:rFonts w:ascii="Arial" w:cs="Arial" w:eastAsia="Arial" w:hAnsi="Arial"/>
          <w:color w:val="1F2937"/>
          <w:sz w:val="22"/>
          <w:szCs w:val="22"/>
        </w:rPr>
        <w:t xml:space="preserve">Todos los conductores asociados a Going Ecuador deben acreditar SOAT vigente y seguro de responsabilidad civil. Going Ecuador verifica periódicamente el cumplimiento de este requisito.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4E40" w:sz="6"/>
              <w:left w:val="single" w:color="F04E40" w:sz="6"/>
              <w:bottom w:val="single" w:color="E5E7EB" w:sz="1"/>
              <w:right w:val="single" w:color="E5E7EB" w:sz="1"/>
            </w:tcBorders>
            <w:shd w:fill="FFF5F4" w:val="clear"/>
            <w:tcMar>
              <w:top w:type="dxa" w:w="120"/>
              <w:left w:type="dxa" w:w="180"/>
              <w:bottom w:type="dxa" w:w="120"/>
              <w:right w:type="dxa" w:w="180"/>
            </w:tcMar>
          </w:tcPr>
          <w:p>
            <w:r>
              <w:rPr>
                <w:rFonts w:ascii="Arial" w:cs="Arial" w:eastAsia="Arial" w:hAnsi="Arial"/>
                <w:b/>
                <w:bCs/>
                <w:color w:val="F04E40"/>
                <w:sz w:val="20"/>
                <w:szCs w:val="20"/>
              </w:rPr>
              <w:t xml:space="preserve">Botón SOS: </w:t>
            </w:r>
            <w:r>
              <w:rPr>
                <w:rFonts w:ascii="Arial" w:cs="Arial" w:eastAsia="Arial" w:hAnsi="Arial"/>
                <w:color w:val="1F2937"/>
                <w:sz w:val="20"/>
                <w:szCs w:val="20"/>
              </w:rPr>
              <w:t xml:space="preserve">La Aplicación cuenta con un botón de emergencia que alerta a los contactos de emergencia del usuario y comparte la ubicación en tiempo real. En caso de emergencia grave, contacte directamente al ECU 911.</w:t>
            </w:r>
          </w:p>
        </w:tc>
      </w:tr>
    </w:tbl>
    <w:p>
      <w:pPr>
        <w:spacing w:after="0" w:before="80"/>
      </w:pPr>
      <w:r>
        <w:t xml:space="preserve"/>
      </w:r>
    </w:p>
    <w:p>
      <w:pPr>
        <w:pStyle w:val="Heading1"/>
        <w:pBdr>
          <w:bottom w:val="single" w:color="F04E40" w:sz="4" w:space="6"/>
        </w:pBdr>
        <w:spacing w:after="160" w:before="320"/>
      </w:pPr>
      <w:r>
        <w:rPr>
          <w:rFonts w:ascii="Arial" w:cs="Arial" w:eastAsia="Arial" w:hAnsi="Arial"/>
          <w:b/>
          <w:bCs/>
          <w:color w:val="131B2E"/>
          <w:sz w:val="28"/>
          <w:szCs w:val="28"/>
        </w:rPr>
        <w:t xml:space="preserve">9. Propiedad Intelectual</w:t>
      </w:r>
    </w:p>
    <w:p>
      <w:pPr>
        <w:spacing w:after="80" w:before="80" w:line="320"/>
        <w:jc w:val="both"/>
      </w:pPr>
      <w:r>
        <w:rPr>
          <w:rFonts w:ascii="Arial" w:cs="Arial" w:eastAsia="Arial" w:hAnsi="Arial"/>
          <w:color w:val="1F2937"/>
          <w:sz w:val="22"/>
          <w:szCs w:val="22"/>
        </w:rPr>
        <w:t xml:space="preserve">Todos los derechos de propiedad intelectual sobre la Plataforma, incluyendo el software, diseño, marcas, logotipos, algoritmos, bases de datos y contenidos, son de titularidad exclusiva de Going Ecuador S.A.S. o de sus licenciantes.</w:t>
      </w:r>
    </w:p>
    <w:p>
      <w:pPr>
        <w:spacing w:after="80" w:before="80" w:line="320"/>
        <w:jc w:val="both"/>
      </w:pPr>
      <w:r>
        <w:rPr>
          <w:rFonts w:ascii="Arial" w:cs="Arial" w:eastAsia="Arial" w:hAnsi="Arial"/>
          <w:color w:val="1F2937"/>
          <w:sz w:val="22"/>
          <w:szCs w:val="22"/>
        </w:rPr>
        <w:t xml:space="preserve">Se concede al usuario una licencia personal, intransferible y no exclusiva para el uso de la Aplicación exclusivamente conforme a estos Términos. Queda prohibida cualquier forma de reproducción, distribución, ingeniería inversa o explotación comercial sin autorización escrita previa.</w:t>
      </w:r>
    </w:p>
    <w:p>
      <w:pPr>
        <w:pStyle w:val="Heading1"/>
        <w:pBdr>
          <w:bottom w:val="single" w:color="F04E40" w:sz="4" w:space="6"/>
        </w:pBdr>
        <w:spacing w:after="160" w:before="320"/>
      </w:pPr>
      <w:r>
        <w:rPr>
          <w:rFonts w:ascii="Arial" w:cs="Arial" w:eastAsia="Arial" w:hAnsi="Arial"/>
          <w:b/>
          <w:bCs/>
          <w:color w:val="131B2E"/>
          <w:sz w:val="28"/>
          <w:szCs w:val="28"/>
        </w:rPr>
        <w:t xml:space="preserve">10. Suspensión y Terminación</w:t>
      </w:r>
    </w:p>
    <w:p>
      <w:pPr>
        <w:spacing w:after="80" w:before="80" w:line="320"/>
        <w:jc w:val="both"/>
      </w:pPr>
      <w:r>
        <w:rPr>
          <w:rFonts w:ascii="Arial" w:cs="Arial" w:eastAsia="Arial" w:hAnsi="Arial"/>
          <w:color w:val="1F2937"/>
          <w:sz w:val="22"/>
          <w:szCs w:val="22"/>
        </w:rPr>
        <w:t xml:space="preserve">Going Ecuador podrá suspender o cancelar una cuenta de usuario de forma inmediata en los siguientes casos:</w:t>
      </w:r>
    </w:p>
    <w:p>
      <w:pPr>
        <w:pStyle w:val="ListParagraph"/>
        <w:numPr>
          <w:ilvl w:val="0"/>
          <w:numId w:val="2"/>
        </w:numPr>
        <w:spacing w:after="60" w:before="60"/>
      </w:pPr>
      <w:r>
        <w:rPr>
          <w:rFonts w:ascii="Arial" w:cs="Arial" w:eastAsia="Arial" w:hAnsi="Arial"/>
          <w:color w:val="1F2937"/>
          <w:sz w:val="22"/>
          <w:szCs w:val="22"/>
        </w:rPr>
        <w:t xml:space="preserve">Incumplimiento de los presentes Términos o de la legislación ecuatoriana</w:t>
      </w:r>
    </w:p>
    <w:p>
      <w:pPr>
        <w:pStyle w:val="ListParagraph"/>
        <w:numPr>
          <w:ilvl w:val="0"/>
          <w:numId w:val="2"/>
        </w:numPr>
        <w:spacing w:after="60" w:before="60"/>
      </w:pPr>
      <w:r>
        <w:rPr>
          <w:rFonts w:ascii="Arial" w:cs="Arial" w:eastAsia="Arial" w:hAnsi="Arial"/>
          <w:color w:val="1F2937"/>
          <w:sz w:val="22"/>
          <w:szCs w:val="22"/>
        </w:rPr>
        <w:t xml:space="preserve">Proporcionar información falsa o fraudulenta</w:t>
      </w:r>
    </w:p>
    <w:p>
      <w:pPr>
        <w:pStyle w:val="ListParagraph"/>
        <w:numPr>
          <w:ilvl w:val="0"/>
          <w:numId w:val="2"/>
        </w:numPr>
        <w:spacing w:after="60" w:before="60"/>
      </w:pPr>
      <w:r>
        <w:rPr>
          <w:rFonts w:ascii="Arial" w:cs="Arial" w:eastAsia="Arial" w:hAnsi="Arial"/>
          <w:color w:val="1F2937"/>
          <w:sz w:val="22"/>
          <w:szCs w:val="22"/>
        </w:rPr>
        <w:t xml:space="preserve">Conducta inapropiada, agresiva o discriminatoria con conductores u otros usuarios</w:t>
      </w:r>
    </w:p>
    <w:p>
      <w:pPr>
        <w:pStyle w:val="ListParagraph"/>
        <w:numPr>
          <w:ilvl w:val="0"/>
          <w:numId w:val="2"/>
        </w:numPr>
        <w:spacing w:after="60" w:before="60"/>
      </w:pPr>
      <w:r>
        <w:rPr>
          <w:rFonts w:ascii="Arial" w:cs="Arial" w:eastAsia="Arial" w:hAnsi="Arial"/>
          <w:color w:val="1F2937"/>
          <w:sz w:val="22"/>
          <w:szCs w:val="22"/>
        </w:rPr>
        <w:t xml:space="preserve">Acumulación de tres o más cancelaciones de viaje injustificadas en 30 días</w:t>
      </w:r>
    </w:p>
    <w:p>
      <w:pPr>
        <w:pStyle w:val="ListParagraph"/>
        <w:numPr>
          <w:ilvl w:val="0"/>
          <w:numId w:val="2"/>
        </w:numPr>
        <w:spacing w:after="60" w:before="60"/>
      </w:pPr>
      <w:r>
        <w:rPr>
          <w:rFonts w:ascii="Arial" w:cs="Arial" w:eastAsia="Arial" w:hAnsi="Arial"/>
          <w:color w:val="1F2937"/>
          <w:sz w:val="22"/>
          <w:szCs w:val="22"/>
        </w:rPr>
        <w:t xml:space="preserve">Intento de fraude en el sistema de pagos o calificaciones</w:t>
      </w:r>
    </w:p>
    <w:p>
      <w:pPr>
        <w:spacing w:after="0" w:before="60"/>
      </w:pPr>
      <w:r>
        <w:t xml:space="preserve"/>
      </w:r>
    </w:p>
    <w:p>
      <w:pPr>
        <w:spacing w:after="80" w:before="80" w:line="320"/>
        <w:jc w:val="both"/>
      </w:pPr>
      <w:r>
        <w:rPr>
          <w:rFonts w:ascii="Arial" w:cs="Arial" w:eastAsia="Arial" w:hAnsi="Arial"/>
          <w:color w:val="1F2937"/>
          <w:sz w:val="22"/>
          <w:szCs w:val="22"/>
        </w:rPr>
        <w:t xml:space="preserve">El usuario podrá solicitar la eliminación de su cuenta en cualquier momento desde Perfil &gt; Configuración &gt; Eliminar cuenta. La eliminación no afectará las obligaciones pendientes de pago.</w:t>
      </w:r>
    </w:p>
    <w:p>
      <w:pPr>
        <w:pStyle w:val="Heading1"/>
        <w:pBdr>
          <w:bottom w:val="single" w:color="F04E40" w:sz="4" w:space="6"/>
        </w:pBdr>
        <w:spacing w:after="160" w:before="320"/>
      </w:pPr>
      <w:r>
        <w:rPr>
          <w:rFonts w:ascii="Arial" w:cs="Arial" w:eastAsia="Arial" w:hAnsi="Arial"/>
          <w:b/>
          <w:bCs/>
          <w:color w:val="131B2E"/>
          <w:sz w:val="28"/>
          <w:szCs w:val="28"/>
        </w:rPr>
        <w:t xml:space="preserve">11. Modificaciones al Servicio y a los Términos</w:t>
      </w:r>
    </w:p>
    <w:p>
      <w:pPr>
        <w:spacing w:after="80" w:before="80" w:line="320"/>
        <w:jc w:val="both"/>
      </w:pPr>
      <w:r>
        <w:rPr>
          <w:rFonts w:ascii="Arial" w:cs="Arial" w:eastAsia="Arial" w:hAnsi="Arial"/>
          <w:color w:val="1F2937"/>
          <w:sz w:val="22"/>
          <w:szCs w:val="22"/>
        </w:rPr>
        <w:t xml:space="preserve">Going Ecuador se reserva el derecho de modificar, suspender o discontinuar cualquier aspecto de la Plataforma sin previo aviso, salvo cuando dichas modificaciones afecten materialmente los derechos del usuario, caso en el cual se notificará con al menos 15 días de antelación.</w:t>
      </w:r>
    </w:p>
    <w:p>
      <w:pPr>
        <w:spacing w:after="80" w:before="80" w:line="320"/>
        <w:jc w:val="both"/>
      </w:pPr>
      <w:r>
        <w:rPr>
          <w:rFonts w:ascii="Arial" w:cs="Arial" w:eastAsia="Arial" w:hAnsi="Arial"/>
          <w:color w:val="1F2937"/>
          <w:sz w:val="22"/>
          <w:szCs w:val="22"/>
        </w:rPr>
        <w:t xml:space="preserve">Los Términos actualizados entrarán en vigor en la fecha indicada. El uso continuado de la Plataforma implica aceptación de los nuevos Términos.</w:t>
      </w:r>
    </w:p>
    <w:p>
      <w:pPr>
        <w:pStyle w:val="Heading1"/>
        <w:pBdr>
          <w:bottom w:val="single" w:color="F04E40" w:sz="4" w:space="6"/>
        </w:pBdr>
        <w:spacing w:after="160" w:before="320"/>
      </w:pPr>
      <w:r>
        <w:rPr>
          <w:rFonts w:ascii="Arial" w:cs="Arial" w:eastAsia="Arial" w:hAnsi="Arial"/>
          <w:b/>
          <w:bCs/>
          <w:color w:val="131B2E"/>
          <w:sz w:val="28"/>
          <w:szCs w:val="28"/>
        </w:rPr>
        <w:t xml:space="preserve">12. Ley Aplicable y Jurisdicción</w:t>
      </w:r>
    </w:p>
    <w:p>
      <w:pPr>
        <w:spacing w:after="80" w:before="80" w:line="320"/>
        <w:jc w:val="both"/>
      </w:pPr>
      <w:r>
        <w:rPr>
          <w:rFonts w:ascii="Arial" w:cs="Arial" w:eastAsia="Arial" w:hAnsi="Arial"/>
          <w:color w:val="1F2937"/>
          <w:sz w:val="22"/>
          <w:szCs w:val="22"/>
        </w:rPr>
        <w:t xml:space="preserve">Los presentes Términos se rigen por las leyes de la República del Ecuador. Para cualquier controversia derivada de su interpretación o cumplimiento, las partes se someten a la jurisdicción de los Tribunales de Justicia ordinarios de la ciudad de Quito, Pichincha, Ecuador, con expresa renuncia a cualquier otro fuero que pudiere corresponderles.</w:t>
      </w:r>
    </w:p>
    <w:p>
      <w:pPr>
        <w:spacing w:after="80" w:before="80" w:line="320"/>
        <w:jc w:val="both"/>
      </w:pPr>
      <w:r>
        <w:rPr>
          <w:rFonts w:ascii="Arial" w:cs="Arial" w:eastAsia="Arial" w:hAnsi="Arial"/>
          <w:color w:val="1F2937"/>
          <w:sz w:val="22"/>
          <w:szCs w:val="22"/>
        </w:rPr>
        <w:t xml:space="preserve">Las partes acuerdan intentar resolver cualquier disputa de manera amigable en un plazo de 30 días antes de acudir a la vía judicial. Para disputas de menor cuantía (hasta $5,000 USD), se preferirán mecanismos alternativos de resolución de conflictos.</w:t>
      </w:r>
    </w:p>
    <w:p>
      <w:pPr>
        <w:pStyle w:val="Heading1"/>
        <w:pBdr>
          <w:bottom w:val="single" w:color="F04E40" w:sz="4" w:space="6"/>
        </w:pBdr>
        <w:spacing w:after="160" w:before="320"/>
      </w:pPr>
      <w:r>
        <w:rPr>
          <w:rFonts w:ascii="Arial" w:cs="Arial" w:eastAsia="Arial" w:hAnsi="Arial"/>
          <w:b/>
          <w:bCs/>
          <w:color w:val="131B2E"/>
          <w:sz w:val="28"/>
          <w:szCs w:val="28"/>
        </w:rPr>
        <w:t xml:space="preserve">13.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4E40" w:sz="6"/>
              <w:left w:val="single" w:color="F04E40" w:sz="6"/>
              <w:bottom w:val="single" w:color="E5E7EB" w:sz="1"/>
              <w:right w:val="single" w:color="E5E7EB" w:sz="1"/>
            </w:tcBorders>
            <w:shd w:fill="FFF5F4" w:val="clear"/>
            <w:tcMar>
              <w:top w:type="dxa" w:w="120"/>
              <w:left w:type="dxa" w:w="180"/>
              <w:bottom w:type="dxa" w:w="120"/>
              <w:right w:type="dxa" w:w="180"/>
            </w:tcMar>
          </w:tcPr>
          <w:p>
            <w:r>
              <w:rPr>
                <w:rFonts w:ascii="Arial" w:cs="Arial" w:eastAsia="Arial" w:hAnsi="Arial"/>
                <w:b/>
                <w:bCs/>
                <w:color w:val="131B2E"/>
                <w:sz w:val="22"/>
                <w:szCs w:val="22"/>
              </w:rPr>
              <w:t xml:space="preserve">Going Ecuador S.A.S. — Atención al Usuario</w:t>
            </w:r>
          </w:p>
          <w:p>
            <w:pPr>
              <w:spacing w:after="0" w:before="40"/>
            </w:pPr>
            <w:r>
              <w:t xml:space="preserve"/>
            </w:r>
          </w:p>
          <w:p>
            <w:r>
              <w:rPr>
                <w:rFonts w:ascii="Arial" w:cs="Arial" w:eastAsia="Arial" w:hAnsi="Arial"/>
                <w:color w:val="1F2937"/>
                <w:sz w:val="22"/>
                <w:szCs w:val="22"/>
              </w:rPr>
              <w:t xml:space="preserve">Dirección: Av. Amazonas N23-45, Quito, Ecuador</w:t>
            </w:r>
          </w:p>
          <w:p>
            <w:r>
              <w:rPr>
                <w:rFonts w:ascii="Arial" w:cs="Arial" w:eastAsia="Arial" w:hAnsi="Arial"/>
                <w:b/>
                <w:bCs/>
                <w:color w:val="1F2937"/>
                <w:sz w:val="22"/>
                <w:szCs w:val="22"/>
              </w:rPr>
              <w:t xml:space="preserve">Soporte: </w:t>
            </w:r>
            <w:r>
              <w:rPr>
                <w:rFonts w:ascii="Arial" w:cs="Arial" w:eastAsia="Arial" w:hAnsi="Arial"/>
                <w:color w:val="F04E40"/>
                <w:sz w:val="22"/>
                <w:szCs w:val="22"/>
              </w:rPr>
              <w:t xml:space="preserve">soporte@goingec.com</w:t>
            </w:r>
          </w:p>
          <w:p>
            <w:r>
              <w:rPr>
                <w:rFonts w:ascii="Arial" w:cs="Arial" w:eastAsia="Arial" w:hAnsi="Arial"/>
                <w:b/>
                <w:bCs/>
                <w:color w:val="1F2937"/>
                <w:sz w:val="22"/>
                <w:szCs w:val="22"/>
              </w:rPr>
              <w:t xml:space="preserve">Legal: </w:t>
            </w:r>
            <w:r>
              <w:rPr>
                <w:rFonts w:ascii="Arial" w:cs="Arial" w:eastAsia="Arial" w:hAnsi="Arial"/>
                <w:color w:val="F04E40"/>
                <w:sz w:val="22"/>
                <w:szCs w:val="22"/>
              </w:rPr>
              <w:t xml:space="preserve">legal@goingec.com</w:t>
            </w:r>
          </w:p>
          <w:p>
            <w:r>
              <w:rPr>
                <w:rFonts w:ascii="Arial" w:cs="Arial" w:eastAsia="Arial" w:hAnsi="Arial"/>
                <w:color w:val="1F2937"/>
                <w:sz w:val="22"/>
                <w:szCs w:val="22"/>
              </w:rPr>
              <w:t xml:space="preserve">WhatsApp: +593 9X XXX XXXX  |  L-V 08:00-20:00, Sáb 09:00-14:00 (GMT-5)</w:t>
            </w:r>
          </w:p>
        </w:tc>
      </w:tr>
    </w:tbl>
    <w:p>
      <w:pPr>
        <w:spacing w:after="0" w:before="80"/>
      </w:pPr>
      <w:r>
        <w:t xml:space="preserve"/>
      </w:r>
    </w:p>
    <w:p>
      <w:pPr>
        <w:spacing w:after="80" w:before="80" w:line="320"/>
        <w:jc w:val="center"/>
      </w:pPr>
      <w:r>
        <w:rPr>
          <w:rFonts w:ascii="Arial" w:cs="Arial" w:eastAsia="Arial" w:hAnsi="Arial"/>
          <w:i/>
          <w:iCs/>
          <w:color w:val="6B7280"/>
          <w:sz w:val="22"/>
          <w:szCs w:val="22"/>
        </w:rPr>
        <w:t xml:space="preserve">Versión 1.0 — Fecha de entrada en vigor: 13 de abril de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3" w:space="4"/>
      </w:pBdr>
      <w:jc w:val="center"/>
    </w:pPr>
    <w:r>
      <w:rPr>
        <w:rFonts w:ascii="Arial" w:cs="Arial" w:eastAsia="Arial" w:hAnsi="Arial"/>
        <w:color w:val="6B7280"/>
        <w:sz w:val="16"/>
        <w:szCs w:val="16"/>
      </w:rPr>
      <w:t xml:space="preserve">Going Ecuador S.A.S.  •  https://goingec.com  •  Página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de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04E40" w:sz="3" w:space="4"/>
      </w:pBdr>
      <w:jc w:val="right"/>
    </w:pPr>
    <w:r>
      <w:rPr>
        <w:rFonts w:ascii="Arial" w:cs="Arial" w:eastAsia="Arial" w:hAnsi="Arial"/>
        <w:color w:val="6B7280"/>
        <w:sz w:val="18"/>
        <w:szCs w:val="18"/>
      </w:rPr>
      <w:t xml:space="preserve">Going Ecuador  |  </w:t>
    </w:r>
    <w:r>
      <w:rPr>
        <w:rFonts w:ascii="Arial" w:cs="Arial" w:eastAsia="Arial" w:hAnsi="Arial"/>
        <w:b/>
        <w:bCs/>
        <w:color w:val="131B2E"/>
        <w:sz w:val="18"/>
        <w:szCs w:val="18"/>
      </w:rPr>
      <w:t xml:space="preserve">Términos y Condiciones de 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31B2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31B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2026-04-13T21:11:05.020Z</dcterms:created>
  <dcterms:modified xsi:type="dcterms:W3CDTF">2026-04-13T21:11:05.020Z</dcterms:modified>
</cp:coreProperties>
</file>

<file path=docProps/custom.xml><?xml version="1.0" encoding="utf-8"?>
<Properties xmlns="http://schemas.openxmlformats.org/officeDocument/2006/custom-properties" xmlns:vt="http://schemas.openxmlformats.org/officeDocument/2006/docPropsVTypes"/>
</file>